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B27C60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4C2545" w:rsidRPr="004C2545">
        <w:t xml:space="preserve"> </w:t>
      </w:r>
      <w:r w:rsidR="004C2545" w:rsidRPr="004C2545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4C2545" w:rsidRPr="004C2545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="004C2545" w:rsidRPr="004C2545">
        <w:rPr>
          <w:rFonts w:ascii="Times New Roman" w:hAnsi="Times New Roman" w:cs="Times New Roman"/>
          <w:sz w:val="24"/>
          <w:szCs w:val="24"/>
          <w:lang w:val="ru-RU"/>
        </w:rPr>
        <w:t xml:space="preserve"> 2026 року до</w:t>
      </w:r>
      <w:r w:rsidR="004C2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545" w:rsidRPr="0062347C">
        <w:rPr>
          <w:rFonts w:ascii="Times New Roman" w:hAnsi="Times New Roman"/>
          <w:sz w:val="24"/>
          <w:szCs w:val="24"/>
        </w:rPr>
        <w:t>30 вересня 2026 року (включно)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D05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4C2545" w:rsidRPr="004C2545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UA-2026-03-17-010971-a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5045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</w:t>
      </w:r>
      <w:r w:rsidR="00DF0074" w:rsidRPr="00DF0074">
        <w:rPr>
          <w:lang w:val="ru-RU"/>
        </w:rPr>
        <w:t>13</w:t>
      </w:r>
      <w:r w:rsidR="00DF0074">
        <w:rPr>
          <w:lang w:val="ru-RU"/>
        </w:rPr>
        <w:t>,</w:t>
      </w:r>
      <w:r w:rsidR="00DF0074" w:rsidRPr="00DF0074">
        <w:rPr>
          <w:lang w:val="ru-RU"/>
        </w:rPr>
        <w:t>119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</w:t>
      </w:r>
      <w:r w:rsidR="004C2545" w:rsidRPr="004C2545">
        <w:rPr>
          <w:lang w:val="ru-RU"/>
        </w:rPr>
        <w:t xml:space="preserve"> </w:t>
      </w:r>
      <w:r w:rsidR="004C2545">
        <w:rPr>
          <w:lang w:val="ru-RU"/>
        </w:rPr>
        <w:t>з</w:t>
      </w:r>
      <w:r w:rsidR="004C2545" w:rsidRPr="004C2545">
        <w:t xml:space="preserve"> квітня 2026</w:t>
      </w:r>
      <w:r w:rsidR="004C2545">
        <w:rPr>
          <w:lang w:val="ru-RU"/>
        </w:rPr>
        <w:t xml:space="preserve"> року</w:t>
      </w:r>
      <w:r w:rsidR="00070E6D">
        <w:t xml:space="preserve"> </w:t>
      </w:r>
      <w:r w:rsidR="004C2545">
        <w:rPr>
          <w:lang w:val="ru-RU"/>
        </w:rPr>
        <w:t xml:space="preserve">до </w:t>
      </w:r>
      <w:r w:rsidR="004C2545" w:rsidRPr="0062347C">
        <w:t>30 вересня 2026 року 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</w:t>
      </w:r>
      <w:r w:rsidR="004C2545">
        <w:rPr>
          <w:lang w:val="ru-RU"/>
        </w:rPr>
        <w:t>з</w:t>
      </w:r>
      <w:r w:rsidR="004C2545" w:rsidRPr="004C2545">
        <w:t xml:space="preserve"> квітня 2026</w:t>
      </w:r>
      <w:r w:rsidR="004C2545">
        <w:rPr>
          <w:lang w:val="ru-RU"/>
        </w:rPr>
        <w:t xml:space="preserve"> року до </w:t>
      </w:r>
      <w:r w:rsidR="004C2545" w:rsidRPr="0062347C">
        <w:t>30 вересня 2026 року 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9B7A13" w:rsidRPr="009B7A13">
        <w:rPr>
          <w:lang w:val="ru-RU"/>
        </w:rPr>
        <w:t xml:space="preserve">з </w:t>
      </w:r>
      <w:proofErr w:type="spellStart"/>
      <w:r w:rsidR="009B7A13" w:rsidRPr="009B7A13">
        <w:rPr>
          <w:lang w:val="ru-RU"/>
        </w:rPr>
        <w:t>квітня</w:t>
      </w:r>
      <w:proofErr w:type="spellEnd"/>
      <w:r w:rsidR="009B7A13" w:rsidRPr="009B7A13">
        <w:rPr>
          <w:lang w:val="ru-RU"/>
        </w:rPr>
        <w:t xml:space="preserve"> 2026 року до</w:t>
      </w:r>
      <w:r w:rsidR="009B7A13">
        <w:rPr>
          <w:lang w:val="ru-RU"/>
        </w:rPr>
        <w:t xml:space="preserve"> 30 </w:t>
      </w:r>
      <w:proofErr w:type="spellStart"/>
      <w:r w:rsidR="009B7A13">
        <w:rPr>
          <w:lang w:val="ru-RU"/>
        </w:rPr>
        <w:t>вересня</w:t>
      </w:r>
      <w:proofErr w:type="spellEnd"/>
      <w:r w:rsidR="009B7A13">
        <w:rPr>
          <w:lang w:val="ru-RU"/>
        </w:rPr>
        <w:t xml:space="preserve"> 2026 року (</w:t>
      </w:r>
      <w:proofErr w:type="spellStart"/>
      <w:r w:rsidR="009B7A13">
        <w:rPr>
          <w:lang w:val="ru-RU"/>
        </w:rPr>
        <w:t>включно</w:t>
      </w:r>
      <w:proofErr w:type="spellEnd"/>
      <w:r w:rsidR="009B7A13">
        <w:rPr>
          <w:lang w:val="ru-RU"/>
        </w:rPr>
        <w:t>)</w:t>
      </w:r>
      <w:r w:rsidR="008C7D05">
        <w:t xml:space="preserve"> </w:t>
      </w:r>
      <w:r>
        <w:t xml:space="preserve">становить: </w:t>
      </w:r>
      <w:r w:rsidR="00DF0074" w:rsidRPr="0077540A">
        <w:rPr>
          <w:b/>
        </w:rPr>
        <w:t>223 713,06</w:t>
      </w:r>
      <w:r w:rsidR="00DF0074">
        <w:t xml:space="preserve"> </w:t>
      </w:r>
      <w:proofErr w:type="spellStart"/>
      <w:r w:rsidR="00DF0074" w:rsidRPr="00F52892">
        <w:t>грн</w:t>
      </w:r>
      <w:proofErr w:type="spellEnd"/>
      <w:r w:rsidR="00DF0074" w:rsidRPr="00F52892">
        <w:t xml:space="preserve"> (</w:t>
      </w:r>
      <w:r w:rsidR="00DF0074" w:rsidRPr="0077540A">
        <w:t>двісті двадцять три тисячі сімсот тринадцять гривень 06 копійок</w:t>
      </w:r>
      <w:r w:rsidR="00DF0074" w:rsidRPr="00F52892">
        <w:t>)</w:t>
      </w:r>
      <w:r w:rsidR="00B27C60">
        <w:rPr>
          <w:lang w:val="ru-RU"/>
        </w:rPr>
        <w:t>,</w:t>
      </w:r>
      <w:r w:rsidR="008C7D05" w:rsidRPr="00F52892">
        <w:t xml:space="preserve"> з урахуванням ПДВ</w:t>
      </w:r>
      <w:r w:rsidR="006A5045" w:rsidRPr="00F52892"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DF0074">
        <w:rPr>
          <w:lang w:val="ru-RU"/>
        </w:rPr>
        <w:t>5</w:t>
      </w:r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="005F5D47" w:rsidRPr="005F5D47">
        <w:t xml:space="preserve">постачає з 1 вересня 2022 р. до </w:t>
      </w:r>
      <w:r w:rsidR="00DF0074" w:rsidRPr="00DF0074">
        <w:t>30 вересня 2026</w:t>
      </w:r>
      <w:r w:rsidR="005F5D47" w:rsidRPr="005F5D47">
        <w:t xml:space="preserve"> р. (включно)</w:t>
      </w:r>
      <w:r>
        <w:t xml:space="preserve"> природний газ бюджетним установам на умовах договору </w:t>
      </w:r>
      <w:proofErr w:type="spellStart"/>
      <w:r w:rsidR="00B93CB0">
        <w:rPr>
          <w:lang w:val="ru-RU"/>
        </w:rPr>
        <w:t>приєднання</w:t>
      </w:r>
      <w:proofErr w:type="spellEnd"/>
      <w:r>
        <w:t>, за ціною, що становить 1</w:t>
      </w:r>
      <w:r w:rsidR="00CF1382">
        <w:rPr>
          <w:lang w:val="ru-RU"/>
        </w:rPr>
        <w:t>6</w:t>
      </w:r>
      <w:r w:rsidR="00D635B8">
        <w:rPr>
          <w:lang w:val="ru-RU"/>
        </w:rPr>
        <w:t>39</w:t>
      </w:r>
      <w:r w:rsidR="00CF1382">
        <w:rPr>
          <w:lang w:val="ru-RU"/>
        </w:rPr>
        <w:t>0</w:t>
      </w:r>
      <w:r>
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A81EA3"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="00CC4C81" w:rsidRPr="00CC4C81">
        <w:t xml:space="preserve">постачає з 1 вересня 2022 р. до </w:t>
      </w:r>
      <w:r w:rsidR="00DF0074" w:rsidRPr="00DF0074">
        <w:t>30 вересня 2026</w:t>
      </w:r>
      <w:r w:rsidR="00CC4C81" w:rsidRPr="00CC4C81">
        <w:t xml:space="preserve"> р. (включно)</w:t>
      </w:r>
      <w:r>
        <w:t xml:space="preserve"> природний газ бюджетним установам, замовник дотримуючись принципів пропорційності, прозорості та неди</w:t>
      </w:r>
      <w:r w:rsidR="00CC4C81">
        <w:t xml:space="preserve">скримінації учасників Замовник </w:t>
      </w:r>
      <w:r>
        <w:t>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</w:t>
      </w:r>
      <w:r w:rsidR="00B93CB0">
        <w:t>ав очікувану вартість закупівлі</w:t>
      </w:r>
      <w:r w:rsidR="00B93CB0">
        <w:rPr>
          <w:lang w:val="ru-RU"/>
        </w:rPr>
        <w:t xml:space="preserve">, </w:t>
      </w:r>
      <w:r>
        <w:t>виходячи з потреб</w:t>
      </w:r>
      <w:r w:rsidR="0037675E">
        <w:rPr>
          <w:lang w:val="ru-RU"/>
        </w:rPr>
        <w:t>и</w:t>
      </w:r>
      <w:r>
        <w:t xml:space="preserve"> природного газу на </w:t>
      </w:r>
      <w:bookmarkStart w:id="0" w:name="_GoBack"/>
      <w:bookmarkEnd w:id="0"/>
      <w:r w:rsidR="005B06F2">
        <w:t xml:space="preserve">період </w:t>
      </w:r>
      <w:r w:rsidR="009B7A13" w:rsidRPr="009B7A13">
        <w:rPr>
          <w:lang w:val="ru-RU"/>
        </w:rPr>
        <w:t xml:space="preserve">з </w:t>
      </w:r>
      <w:proofErr w:type="spellStart"/>
      <w:r w:rsidR="009B7A13" w:rsidRPr="009B7A13">
        <w:rPr>
          <w:lang w:val="ru-RU"/>
        </w:rPr>
        <w:t>квітня</w:t>
      </w:r>
      <w:proofErr w:type="spellEnd"/>
      <w:r w:rsidR="009B7A13" w:rsidRPr="009B7A13">
        <w:rPr>
          <w:lang w:val="ru-RU"/>
        </w:rPr>
        <w:t xml:space="preserve"> 2026 року до 30 </w:t>
      </w:r>
      <w:proofErr w:type="spellStart"/>
      <w:r w:rsidR="009B7A13" w:rsidRPr="009B7A13">
        <w:rPr>
          <w:lang w:val="ru-RU"/>
        </w:rPr>
        <w:t>вересня</w:t>
      </w:r>
      <w:proofErr w:type="spellEnd"/>
      <w:r w:rsidR="009B7A13" w:rsidRPr="009B7A13">
        <w:rPr>
          <w:lang w:val="ru-RU"/>
        </w:rPr>
        <w:t xml:space="preserve"> 2026 року (</w:t>
      </w:r>
      <w:proofErr w:type="spellStart"/>
      <w:r w:rsidR="009B7A13" w:rsidRPr="009B7A13">
        <w:rPr>
          <w:lang w:val="ru-RU"/>
        </w:rPr>
        <w:t>включно</w:t>
      </w:r>
      <w:proofErr w:type="spellEnd"/>
      <w:r w:rsidR="009B7A13" w:rsidRPr="009B7A13">
        <w:rPr>
          <w:lang w:val="ru-RU"/>
        </w:rPr>
        <w:t>).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D2199"/>
    <w:rsid w:val="000F79A2"/>
    <w:rsid w:val="001202EE"/>
    <w:rsid w:val="0014494E"/>
    <w:rsid w:val="00154C86"/>
    <w:rsid w:val="00193956"/>
    <w:rsid w:val="00196873"/>
    <w:rsid w:val="001D4E50"/>
    <w:rsid w:val="00232258"/>
    <w:rsid w:val="00235635"/>
    <w:rsid w:val="002359C5"/>
    <w:rsid w:val="002433B4"/>
    <w:rsid w:val="002821A0"/>
    <w:rsid w:val="002C40EF"/>
    <w:rsid w:val="002E1CAA"/>
    <w:rsid w:val="002F2950"/>
    <w:rsid w:val="0030497B"/>
    <w:rsid w:val="00327285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B26C7"/>
    <w:rsid w:val="004C2545"/>
    <w:rsid w:val="004F0303"/>
    <w:rsid w:val="0056768D"/>
    <w:rsid w:val="00584317"/>
    <w:rsid w:val="005B06F2"/>
    <w:rsid w:val="005F5D47"/>
    <w:rsid w:val="005F6DBA"/>
    <w:rsid w:val="00633050"/>
    <w:rsid w:val="00640DFB"/>
    <w:rsid w:val="006428E3"/>
    <w:rsid w:val="0069653E"/>
    <w:rsid w:val="006A5045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C7D05"/>
    <w:rsid w:val="008F02D8"/>
    <w:rsid w:val="008F783A"/>
    <w:rsid w:val="008F799B"/>
    <w:rsid w:val="0097668A"/>
    <w:rsid w:val="009B7A13"/>
    <w:rsid w:val="009C06FB"/>
    <w:rsid w:val="009C4AC5"/>
    <w:rsid w:val="00A81EA3"/>
    <w:rsid w:val="00A85059"/>
    <w:rsid w:val="00AB5FB8"/>
    <w:rsid w:val="00AC480C"/>
    <w:rsid w:val="00B03C4B"/>
    <w:rsid w:val="00B27C60"/>
    <w:rsid w:val="00B30FF6"/>
    <w:rsid w:val="00B666AC"/>
    <w:rsid w:val="00B93CB0"/>
    <w:rsid w:val="00B96ADA"/>
    <w:rsid w:val="00BB4BEB"/>
    <w:rsid w:val="00C1070C"/>
    <w:rsid w:val="00C23D9B"/>
    <w:rsid w:val="00C2499C"/>
    <w:rsid w:val="00C25CEA"/>
    <w:rsid w:val="00C84F14"/>
    <w:rsid w:val="00CC4C81"/>
    <w:rsid w:val="00CD3388"/>
    <w:rsid w:val="00CF1382"/>
    <w:rsid w:val="00D635B8"/>
    <w:rsid w:val="00DF0074"/>
    <w:rsid w:val="00E250C3"/>
    <w:rsid w:val="00F32F3B"/>
    <w:rsid w:val="00F50EF1"/>
    <w:rsid w:val="00FD1083"/>
    <w:rsid w:val="00FE0357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2026-03-26T06:42:00Z</dcterms:created>
  <dcterms:modified xsi:type="dcterms:W3CDTF">2026-03-26T06:59:00Z</dcterms:modified>
</cp:coreProperties>
</file>