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1656D2" w:rsidRPr="001656D2">
        <w:rPr>
          <w:rFonts w:ascii="Times New Roman" w:hAnsi="Times New Roman"/>
          <w:b/>
          <w:sz w:val="24"/>
          <w:szCs w:val="24"/>
          <w:lang w:eastAsia="ru-RU"/>
        </w:rPr>
        <w:t>Обладнання та матеріали для системи гучномовного зв’язку</w:t>
      </w:r>
    </w:p>
    <w:p w:rsidR="00023275" w:rsidRDefault="00A54289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A54289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  <w:lang w:val="ru-RU"/>
        </w:rPr>
        <w:t>К</w:t>
      </w:r>
      <w:r w:rsidRPr="00A54289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од</w:t>
      </w:r>
      <w:r w:rsidRPr="00A5428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1656D2" w:rsidRPr="001656D2">
        <w:rPr>
          <w:rFonts w:ascii="Times New Roman" w:hAnsi="Times New Roman"/>
          <w:b/>
          <w:snapToGrid w:val="0"/>
          <w:sz w:val="24"/>
          <w:szCs w:val="24"/>
        </w:rPr>
        <w:t>32340000-8 Мікрофони та гучномовці.</w:t>
      </w:r>
    </w:p>
    <w:p w:rsidR="00CF7663" w:rsidRPr="00CF7663" w:rsidRDefault="00CF7663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в</w:t>
      </w:r>
      <w:proofErr w:type="spellStart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ідкриті</w:t>
      </w:r>
      <w:proofErr w:type="spellEnd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торги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1656D2" w:rsidRPr="001656D2">
        <w:rPr>
          <w:rFonts w:ascii="Times New Roman" w:hAnsi="Times New Roman" w:cs="Times New Roman"/>
          <w:sz w:val="24"/>
          <w:szCs w:val="24"/>
        </w:rPr>
        <w:t>UA-2025-06-11-011219-a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656D2" w:rsidRPr="001656D2" w:rsidRDefault="001656D2" w:rsidP="001656D2">
      <w:pPr>
        <w:tabs>
          <w:tab w:val="left" w:pos="142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Розділ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 xml:space="preserve"> 1. </w:t>
      </w: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Опис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 xml:space="preserve"> предмета </w:t>
      </w: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закупі</w:t>
      </w:r>
      <w:proofErr w:type="gramStart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вл</w:t>
      </w:r>
      <w:proofErr w:type="gramEnd"/>
      <w:r w:rsidRPr="001656D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і</w:t>
      </w:r>
      <w:proofErr w:type="spellEnd"/>
    </w:p>
    <w:p w:rsidR="001656D2" w:rsidRPr="001656D2" w:rsidRDefault="001656D2" w:rsidP="001656D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1.1.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Кількість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найменування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посилання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на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специфікацію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ічні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характеристики і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вимоги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до товару.</w:t>
      </w:r>
    </w:p>
    <w:p w:rsidR="001656D2" w:rsidRPr="001656D2" w:rsidRDefault="001656D2" w:rsidP="001656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  <w:t>Таблиця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  <w:t xml:space="preserve"> 1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698"/>
        <w:gridCol w:w="1276"/>
        <w:gridCol w:w="1276"/>
        <w:gridCol w:w="1701"/>
        <w:gridCol w:w="1843"/>
      </w:tblGrid>
      <w:tr w:rsidR="001656D2" w:rsidRPr="001656D2" w:rsidTr="00BE7441">
        <w:trPr>
          <w:trHeight w:val="827"/>
        </w:trPr>
        <w:tc>
          <w:tcPr>
            <w:tcW w:w="555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№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п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/п</w:t>
            </w:r>
          </w:p>
        </w:tc>
        <w:tc>
          <w:tcPr>
            <w:tcW w:w="3698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Найменування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товару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Одиниця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Специфікація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Техн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ічні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характеристики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вимоги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до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обладнання</w:t>
            </w:r>
            <w:proofErr w:type="spellEnd"/>
          </w:p>
        </w:tc>
      </w:tr>
      <w:tr w:rsidR="001656D2" w:rsidRPr="001656D2" w:rsidTr="00BE7441">
        <w:trPr>
          <w:trHeight w:val="496"/>
        </w:trPr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698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 xml:space="preserve"> (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Комплект 1</w:t>
            </w:r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val="ru-RU" w:eastAsia="uk-UA"/>
              </w:rPr>
              <w:t>)</w:t>
            </w:r>
          </w:p>
        </w:tc>
        <w:tc>
          <w:tcPr>
            <w:tcW w:w="1276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Таблиця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2.1</w:t>
            </w:r>
          </w:p>
        </w:tc>
        <w:tc>
          <w:tcPr>
            <w:tcW w:w="1843" w:type="dxa"/>
            <w:vMerge w:val="restart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Таблиця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3</w:t>
            </w:r>
          </w:p>
        </w:tc>
      </w:tr>
      <w:tr w:rsidR="001656D2" w:rsidRPr="001656D2" w:rsidTr="00BE7441">
        <w:trPr>
          <w:trHeight w:val="476"/>
        </w:trPr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98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(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Комплект 2</w:t>
            </w:r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)</w:t>
            </w:r>
          </w:p>
        </w:tc>
        <w:tc>
          <w:tcPr>
            <w:tcW w:w="1276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Таблиця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2.2</w:t>
            </w:r>
          </w:p>
        </w:tc>
        <w:tc>
          <w:tcPr>
            <w:tcW w:w="1843" w:type="dxa"/>
            <w:vMerge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1656D2" w:rsidRPr="001656D2" w:rsidTr="00BE7441">
        <w:trPr>
          <w:trHeight w:val="386"/>
        </w:trPr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98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 xml:space="preserve"> (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Комплект 3</w:t>
            </w:r>
            <w:r w:rsidRPr="001656D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ru-RU" w:eastAsia="uk-UA"/>
              </w:rPr>
              <w:t>)</w:t>
            </w:r>
          </w:p>
        </w:tc>
        <w:tc>
          <w:tcPr>
            <w:tcW w:w="1276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Таблиця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2.3</w:t>
            </w:r>
          </w:p>
        </w:tc>
        <w:tc>
          <w:tcPr>
            <w:tcW w:w="1843" w:type="dxa"/>
            <w:vMerge/>
            <w:vAlign w:val="center"/>
          </w:tcPr>
          <w:p w:rsidR="001656D2" w:rsidRPr="001656D2" w:rsidRDefault="001656D2" w:rsidP="001656D2">
            <w:pPr>
              <w:tabs>
                <w:tab w:val="left" w:pos="142"/>
              </w:tabs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1656D2" w:rsidRPr="001656D2" w:rsidRDefault="001656D2" w:rsidP="001656D2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</w:pPr>
    </w:p>
    <w:p w:rsidR="001656D2" w:rsidRPr="001656D2" w:rsidRDefault="001656D2" w:rsidP="001656D2">
      <w:pPr>
        <w:spacing w:after="0" w:line="240" w:lineRule="auto"/>
        <w:ind w:right="49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1.2.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Специфікація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складових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предмету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закупівлі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1656D2" w:rsidRPr="001656D2" w:rsidRDefault="001656D2" w:rsidP="001656D2">
      <w:pPr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  <w:t xml:space="preserve"> </w:t>
      </w:r>
      <w:r w:rsidRPr="001656D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ru-RU" w:eastAsia="ru-RU"/>
        </w:rPr>
        <w:t>2.1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090"/>
        <w:gridCol w:w="1276"/>
        <w:gridCol w:w="1276"/>
      </w:tblGrid>
      <w:tr w:rsidR="001656D2" w:rsidRPr="001656D2" w:rsidTr="00BE7441">
        <w:trPr>
          <w:trHeight w:val="2"/>
        </w:trPr>
        <w:tc>
          <w:tcPr>
            <w:tcW w:w="707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№ з/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п</w:t>
            </w:r>
            <w:proofErr w:type="gramEnd"/>
          </w:p>
        </w:tc>
        <w:tc>
          <w:tcPr>
            <w:tcW w:w="709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Склад комплекту</w:t>
            </w:r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Одиниці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</w:tc>
      </w:tr>
      <w:tr w:rsidR="001656D2" w:rsidRPr="001656D2" w:rsidTr="00BE7441">
        <w:trPr>
          <w:trHeight w:val="1"/>
        </w:trPr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(Комплект 1)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у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складі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:</w:t>
            </w:r>
          </w:p>
        </w:tc>
        <w:tc>
          <w:tcPr>
            <w:tcW w:w="2552" w:type="dxa"/>
            <w:gridSpan w:val="2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  <w:t>Комплект</w:t>
            </w:r>
          </w:p>
        </w:tc>
      </w:tr>
      <w:tr w:rsidR="001656D2" w:rsidRPr="001656D2" w:rsidTr="00BE7441"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Радіосистема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HL AUDIO GLXD4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система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 xml:space="preserve"> ALTO PROFESSIONAL TX415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Мікшерний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пульт HL AUDIO SMR6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інструментальний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конекторами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ROCKCABLE RCL 30209 D7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090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ікрофонний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конекторами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ROCKCABLE RCL 30301 D7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</w:tbl>
    <w:p w:rsidR="001656D2" w:rsidRPr="001656D2" w:rsidRDefault="001656D2" w:rsidP="001656D2">
      <w:pPr>
        <w:spacing w:after="0" w:line="240" w:lineRule="auto"/>
        <w:ind w:left="8508" w:right="49"/>
        <w:jc w:val="right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>Таблиця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 xml:space="preserve"> 2.2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064"/>
        <w:gridCol w:w="1276"/>
        <w:gridCol w:w="1276"/>
      </w:tblGrid>
      <w:tr w:rsidR="001656D2" w:rsidRPr="001656D2" w:rsidTr="00BE7441">
        <w:trPr>
          <w:trHeight w:val="480"/>
        </w:trPr>
        <w:tc>
          <w:tcPr>
            <w:tcW w:w="733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№ з/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п</w:t>
            </w:r>
            <w:proofErr w:type="gramEnd"/>
          </w:p>
        </w:tc>
        <w:tc>
          <w:tcPr>
            <w:tcW w:w="7064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Склад комплекту</w:t>
            </w:r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Одиниці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</w:tc>
      </w:tr>
      <w:tr w:rsidR="001656D2" w:rsidRPr="001656D2" w:rsidTr="00BE7441">
        <w:trPr>
          <w:trHeight w:val="219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(Комплект 2)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у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складі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:</w:t>
            </w:r>
          </w:p>
        </w:tc>
        <w:tc>
          <w:tcPr>
            <w:tcW w:w="2552" w:type="dxa"/>
            <w:gridSpan w:val="2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  <w:t>Комплект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Радіосистема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HL AUDIO GLXD4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Мікшерний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пульт HL AUDIO SMR8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Мікрофонна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ійка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Maximum Acoustics CRANE.10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Пров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динамічний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SHURE SM58S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ікрофонний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ROCKCABLE RCL30310 D7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4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система HH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Electronic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VRE-15AG2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</w:tbl>
    <w:p w:rsidR="001656D2" w:rsidRPr="001656D2" w:rsidRDefault="001656D2" w:rsidP="001656D2">
      <w:pPr>
        <w:spacing w:after="0" w:line="240" w:lineRule="auto"/>
        <w:ind w:left="8508" w:right="49"/>
        <w:jc w:val="right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>Таблиця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 xml:space="preserve"> 2.3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064"/>
        <w:gridCol w:w="1276"/>
        <w:gridCol w:w="1276"/>
      </w:tblGrid>
      <w:tr w:rsidR="001656D2" w:rsidRPr="001656D2" w:rsidTr="00BE7441">
        <w:trPr>
          <w:trHeight w:val="480"/>
        </w:trPr>
        <w:tc>
          <w:tcPr>
            <w:tcW w:w="733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№ з/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п</w:t>
            </w:r>
            <w:proofErr w:type="gramEnd"/>
          </w:p>
        </w:tc>
        <w:tc>
          <w:tcPr>
            <w:tcW w:w="7064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Склад комплекту</w:t>
            </w:r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Одиниці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</w:tc>
      </w:tr>
      <w:tr w:rsidR="001656D2" w:rsidRPr="001656D2" w:rsidTr="00BE7441">
        <w:trPr>
          <w:trHeight w:val="145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Обладнання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матеріали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гучномовного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зв’язку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(Комплект 3)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у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складі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ru-RU" w:eastAsia="uk-UA"/>
              </w:rPr>
              <w:t>:</w:t>
            </w:r>
          </w:p>
        </w:tc>
        <w:tc>
          <w:tcPr>
            <w:tcW w:w="2552" w:type="dxa"/>
            <w:gridSpan w:val="2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  <w:lang w:val="ru-RU" w:eastAsia="ru-RU"/>
              </w:rPr>
              <w:t>Комплект</w:t>
            </w:r>
          </w:p>
        </w:tc>
      </w:tr>
      <w:tr w:rsidR="001656D2" w:rsidRPr="001656D2" w:rsidTr="00BE7441">
        <w:trPr>
          <w:trHeight w:val="95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Радіосистема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HL AUDIO GLXD4</w:t>
            </w:r>
            <w:bookmarkStart w:id="0" w:name="_GoBack"/>
            <w:bookmarkEnd w:id="0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16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Мікшерний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пульт HL AUDIO SMR8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1</w:t>
            </w:r>
          </w:p>
        </w:tc>
      </w:tr>
      <w:tr w:rsidR="001656D2" w:rsidRPr="001656D2" w:rsidTr="00BE7441">
        <w:trPr>
          <w:trHeight w:val="16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система</w:t>
            </w: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 xml:space="preserve"> ALTO PROFESSIONAL TX4 10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rPr>
          <w:trHeight w:val="16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ійки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акустичної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Maximum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Acoustics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 xml:space="preserve"> MPS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rPr>
          <w:trHeight w:val="16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Мікрофонна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ійка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Maximum Acoustics CRANE.10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2</w:t>
            </w:r>
          </w:p>
        </w:tc>
      </w:tr>
      <w:tr w:rsidR="001656D2" w:rsidRPr="001656D2" w:rsidTr="00BE7441">
        <w:trPr>
          <w:trHeight w:val="168"/>
        </w:trPr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064" w:type="dxa"/>
            <w:tcMar>
              <w:left w:w="108" w:type="dxa"/>
              <w:right w:w="108" w:type="dxa"/>
            </w:tcMar>
          </w:tcPr>
          <w:p w:rsidR="001656D2" w:rsidRPr="001656D2" w:rsidRDefault="001656D2" w:rsidP="001656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49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інструментальний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конекторами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ROCKCABLE RCL 30209 D7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656D2" w:rsidRPr="001656D2" w:rsidRDefault="001656D2" w:rsidP="001656D2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ru-RU" w:eastAsia="ru-RU"/>
              </w:rPr>
              <w:t>4</w:t>
            </w:r>
          </w:p>
        </w:tc>
      </w:tr>
    </w:tbl>
    <w:p w:rsidR="00407C81" w:rsidRDefault="00407C81" w:rsidP="001656D2">
      <w:pPr>
        <w:tabs>
          <w:tab w:val="left" w:pos="14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ru-RU" w:eastAsia="ru-RU"/>
        </w:rPr>
      </w:pPr>
    </w:p>
    <w:p w:rsidR="001656D2" w:rsidRPr="001656D2" w:rsidRDefault="001656D2" w:rsidP="001656D2">
      <w:pPr>
        <w:tabs>
          <w:tab w:val="left" w:pos="14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1.3.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Вимоги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до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параметрів</w:t>
      </w:r>
      <w:proofErr w:type="spell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предмету </w:t>
      </w:r>
      <w:proofErr w:type="spell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закупі</w:t>
      </w:r>
      <w:proofErr w:type="gramStart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вл</w:t>
      </w:r>
      <w:proofErr w:type="gramEnd"/>
      <w:r w:rsidRPr="001656D2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і</w:t>
      </w:r>
      <w:proofErr w:type="spellEnd"/>
    </w:p>
    <w:p w:rsidR="001656D2" w:rsidRPr="001656D2" w:rsidRDefault="001656D2" w:rsidP="001656D2">
      <w:pPr>
        <w:spacing w:after="0" w:line="240" w:lineRule="auto"/>
        <w:ind w:left="8508" w:right="49"/>
        <w:jc w:val="right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>Таблиця</w:t>
      </w:r>
      <w:proofErr w:type="spellEnd"/>
      <w:r w:rsidRPr="001656D2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ru-RU" w:eastAsia="ru-RU"/>
        </w:rPr>
        <w:t xml:space="preserve"> 3</w:t>
      </w:r>
    </w:p>
    <w:tbl>
      <w:tblPr>
        <w:tblW w:w="103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92"/>
        <w:gridCol w:w="7230"/>
      </w:tblGrid>
      <w:tr w:rsidR="001656D2" w:rsidRPr="001656D2" w:rsidTr="00BE7441">
        <w:trPr>
          <w:trHeight w:val="4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ru-RU"/>
              </w:rPr>
              <w:t>Найменування</w:t>
            </w:r>
            <w:proofErr w:type="spellEnd"/>
            <w:r w:rsidRPr="001656D2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ru-RU"/>
              </w:rPr>
              <w:t xml:space="preserve"> товару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Вимоги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встановлені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Замовником</w:t>
            </w:r>
            <w:proofErr w:type="spellEnd"/>
          </w:p>
        </w:tc>
      </w:tr>
      <w:tr w:rsidR="001656D2" w:rsidRPr="001656D2" w:rsidTr="00BE7441">
        <w:trPr>
          <w:trHeight w:val="2214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Радіосистема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HL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AUDIO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GLXD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4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 шт.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Тип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радіосистеми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UHF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двома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ручними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передавачами</w:t>
            </w:r>
            <w:proofErr w:type="spellEnd"/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Частотний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діапазон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520-580 МГц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Частотне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перемикання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120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каналі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</w:t>
            </w:r>
            <w:proofErr w:type="spellEnd"/>
            <w:proofErr w:type="gramEnd"/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Спі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вв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ідношення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сигнал/шум: 105 дБ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Частотний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діапазон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ауд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): 80 Гц 15 кГц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Вбудована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шумозаглушення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Так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Дальність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до 130 м (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прямій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видимості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Регулювання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гучності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Індивідуальне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для кожного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ікрофона</w:t>
            </w:r>
            <w:proofErr w:type="spellEnd"/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Виходи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1 х 1/4»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несиметричний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Jack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mix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), 2 х XLR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балансних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виходи</w:t>
            </w:r>
            <w:proofErr w:type="spellEnd"/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Живлення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передавача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2 х АА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батареї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комплекті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  <w:p w:rsidR="001656D2" w:rsidRPr="001656D2" w:rsidRDefault="001656D2" w:rsidP="00165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Розміри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приймача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210 х 155 х 45 мм (без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антен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1656D2" w:rsidRPr="001656D2" w:rsidTr="00BE7441">
        <w:trPr>
          <w:trHeight w:val="1198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Акустична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система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ALTO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PROFESSIONAL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TX415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 шт.</w:t>
            </w:r>
          </w:p>
        </w:tc>
        <w:tc>
          <w:tcPr>
            <w:tcW w:w="7230" w:type="dxa"/>
            <w:shd w:val="clear" w:color="auto" w:fill="auto"/>
          </w:tcPr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Тип: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система, активна, 15" НЧ + 1" ВЧ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Потужність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350/700Вт (пост/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Комплектація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TX415,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мережевий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кабель,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керівництво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користувача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Частотний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діапазон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65 Гц - 20 кГц (-3дБ)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Максимальний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рівень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звукового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тиску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(SPL) 121 дБ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Роз'єми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Вхід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XLR/TRS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Mic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Line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вихід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XLR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Link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Розміри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634 x 386 x 371 мм Вага 14.4 кг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Додаткові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дані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ауд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кріплення"стакан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" 36 мм для установки на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стандартні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стійки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Додаткові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дані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Покриття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по ВЧ: 90 ° H x 60 ° V</w:t>
            </w:r>
          </w:p>
        </w:tc>
      </w:tr>
      <w:tr w:rsidR="001656D2" w:rsidRPr="001656D2" w:rsidTr="00BE7441"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Мікшерний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пульт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HL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AUDIO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SMR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6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шт.</w:t>
            </w:r>
          </w:p>
        </w:tc>
        <w:tc>
          <w:tcPr>
            <w:tcW w:w="7230" w:type="dxa"/>
            <w:shd w:val="clear" w:color="auto" w:fill="auto"/>
          </w:tcPr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Аналогові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входи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2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інструментальних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+ 2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стереопари</w:t>
            </w:r>
            <w:proofErr w:type="spellEnd"/>
          </w:p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Еквалайзер:3-смугові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моно-каналах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2-смугові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стерео каналах</w:t>
            </w:r>
          </w:p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Сигнал/шум: -80 дБ</w:t>
            </w:r>
          </w:p>
          <w:p w:rsidR="001656D2" w:rsidRPr="001656D2" w:rsidRDefault="001656D2" w:rsidP="001656D2">
            <w:pPr>
              <w:adjustRightInd w:val="0"/>
              <w:spacing w:after="0" w:line="240" w:lineRule="auto"/>
              <w:ind w:right="198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Додаткові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дані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Фантомне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живлення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USB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медіаплеє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spellEnd"/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приймач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1 AUX,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вихід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навушників</w:t>
            </w:r>
            <w:proofErr w:type="spellEnd"/>
          </w:p>
        </w:tc>
      </w:tr>
      <w:tr w:rsidR="001656D2" w:rsidRPr="001656D2" w:rsidTr="00BE7441">
        <w:trPr>
          <w:trHeight w:val="698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інструментальний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конекторами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ROCKCABLE RCL 30209 D7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8 шт.</w:t>
            </w:r>
          </w:p>
        </w:tc>
        <w:tc>
          <w:tcPr>
            <w:tcW w:w="7230" w:type="dxa"/>
            <w:shd w:val="clear" w:color="auto" w:fill="auto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2 х 1/4"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Jack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прямі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Позолочен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наконечники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Діаметр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7 мм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Довжина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9 м</w:t>
            </w:r>
          </w:p>
        </w:tc>
      </w:tr>
      <w:tr w:rsidR="001656D2" w:rsidRPr="001656D2" w:rsidTr="00BE7441">
        <w:trPr>
          <w:trHeight w:val="698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ікрофонний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конекторами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ROCKCABLE RCL 30301 D7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шт.</w:t>
            </w:r>
          </w:p>
        </w:tc>
        <w:tc>
          <w:tcPr>
            <w:tcW w:w="7230" w:type="dxa"/>
            <w:shd w:val="clear" w:color="auto" w:fill="auto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XLR-f - XLR-m (канон-мама - канон-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тато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Діаметр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7 мм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Довжина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1 м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uk-UA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uk-UA"/>
              </w:rPr>
              <w:t>Мікшерний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uk-UA"/>
              </w:rPr>
              <w:t xml:space="preserve"> пульт HL AUDIO SMR8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 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Аналогові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входи: 4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інструментальних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+ 2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стереопари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3-смугові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моно-каналах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2-смугові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стерео-каналах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Сигнал/шум: -80 дБ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Додатково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Фантомне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живлення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USB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медіаплеє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spellEnd"/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приймач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1 AUX,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вихід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навушників</w:t>
            </w:r>
            <w:proofErr w:type="spellEnd"/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Мікрофонна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ійка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Maximum Acoustics CRANE.10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 шт.</w:t>
            </w:r>
          </w:p>
        </w:tc>
        <w:tc>
          <w:tcPr>
            <w:tcW w:w="7230" w:type="dxa"/>
            <w:shd w:val="clear" w:color="auto" w:fill="auto"/>
          </w:tcPr>
          <w:p w:rsidR="001656D2" w:rsidRPr="001656D2" w:rsidRDefault="001656D2" w:rsidP="00165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Конструкція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ійки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Журавель </w:t>
            </w:r>
          </w:p>
          <w:p w:rsidR="001656D2" w:rsidRPr="001656D2" w:rsidRDefault="001656D2" w:rsidP="001656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Розміщення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ійки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підлогова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.</w:t>
            </w:r>
          </w:p>
          <w:p w:rsidR="001656D2" w:rsidRPr="001656D2" w:rsidRDefault="001656D2" w:rsidP="001656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Габарити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, мм: 800-1850 (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висота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), 750 (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довжина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стр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іли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).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Колі</w:t>
            </w:r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р</w:t>
            </w:r>
            <w:proofErr w:type="spellEnd"/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чорний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Пров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динамічний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SHURE SM58S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 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Тип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ікрофона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для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прямої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трансляції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спеціальний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KTV/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виступ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мікрофон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зовнішньої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звукової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карти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ідходить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spellEnd"/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сцена, KTV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присвячений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Live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Crowd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Бездротовий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зв'язок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Вказівні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характеристики: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Кардіоїд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Версія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1.1 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Спі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вв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ідношення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сигнал/шум: ≥75 дБ</w:t>
            </w: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Кабель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ікрофонний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ROCKCABLE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RCL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30310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7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 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shd w:val="clear" w:color="auto" w:fill="FFFFFF"/>
              <w:spacing w:after="0" w:line="240" w:lineRule="auto"/>
              <w:ind w:left="357" w:hanging="323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XLR-f - XLR-m (канон-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тато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 xml:space="preserve"> - канон-мама)</w:t>
            </w:r>
          </w:p>
          <w:p w:rsidR="001656D2" w:rsidRPr="001656D2" w:rsidRDefault="001656D2" w:rsidP="001656D2">
            <w:pPr>
              <w:shd w:val="clear" w:color="auto" w:fill="FFFFFF"/>
              <w:spacing w:after="0" w:line="240" w:lineRule="auto"/>
              <w:ind w:left="357" w:hanging="323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Діаметр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: 7 мм</w:t>
            </w:r>
          </w:p>
          <w:p w:rsidR="001656D2" w:rsidRPr="001656D2" w:rsidRDefault="001656D2" w:rsidP="001656D2">
            <w:pPr>
              <w:shd w:val="clear" w:color="auto" w:fill="FFFFFF"/>
              <w:spacing w:after="0" w:line="240" w:lineRule="auto"/>
              <w:ind w:left="357" w:hanging="323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Довжина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val="ru-RU" w:eastAsia="ru-RU"/>
              </w:rPr>
              <w:t>: 10 м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система HH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Electronic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VRE-15AG2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Тип: 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Активна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портативна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система 15"+1"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Потужність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Peak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@ 1m) – 800 Вт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посилення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- A/B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Імпульсний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блок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живлення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Входи: 2 x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балансних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XLR/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Jack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6,3 мм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перемиканням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MIC/LINE, 1 х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Stereo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Jack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3,5 мм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медіаплеє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spellEnd"/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4.1 USB та SD-картою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Вихід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-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балансний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XLR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Mix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Out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),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окреме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регулювання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івнів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каналів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1-3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майстер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еквалайзер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та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гучність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ВЧ – 1”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компресійний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драйвер)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НЧ - 15"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Кут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розкриття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90° х 40°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Частотний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діапазон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50 Гц – 20 кГц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Корпус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чорного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кольору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із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ручками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Матер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іал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корпусу –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поліпропілен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Сталева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сітка</w:t>
            </w:r>
            <w:proofErr w:type="spellEnd"/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Склянка: 35 мм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Розміри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</w:t>
            </w:r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x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ШxГ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): 690 x 440 x 370 мм</w:t>
            </w: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Акустична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система</w:t>
            </w: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ALTO PROFESSIONAL TX4 10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Кількість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активних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смуг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– 2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</w:t>
            </w:r>
            <w:proofErr w:type="spellEnd"/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Номінальна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потужність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не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менше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300Вт;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Мультимедіа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-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Bluetooth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Входи -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Jack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(6,35), XLR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Виходи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 XLR</w:t>
            </w:r>
          </w:p>
        </w:tc>
      </w:tr>
      <w:tr w:rsidR="001656D2" w:rsidRPr="001656D2" w:rsidTr="00BE7441">
        <w:trPr>
          <w:trHeight w:val="433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ійки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акустичної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>системи</w:t>
            </w:r>
            <w:proofErr w:type="spellEnd"/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Maximum</w:t>
            </w: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Acoustics</w:t>
            </w: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1656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MPS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Arial" w:hAnsi="Times New Roman" w:cs="Times New Roman"/>
                <w:noProof/>
                <w:spacing w:val="-6"/>
                <w:sz w:val="18"/>
                <w:szCs w:val="18"/>
                <w:lang w:val="ru-RU"/>
              </w:rPr>
              <w:t>або еквівалент.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2шт.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Конструкція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ійки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прямо;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Мінімальна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висота:120см;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Максимальна </w:t>
            </w: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висота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: 200см; 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Діаметр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труби:35мм;</w:t>
            </w:r>
          </w:p>
          <w:p w:rsidR="001656D2" w:rsidRPr="001656D2" w:rsidRDefault="001656D2" w:rsidP="0016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Навантаження</w:t>
            </w:r>
            <w:proofErr w:type="spellEnd"/>
            <w:r w:rsidRPr="0016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: 50 кг</w:t>
            </w:r>
          </w:p>
        </w:tc>
      </w:tr>
    </w:tbl>
    <w:p w:rsidR="001656D2" w:rsidRPr="001656D2" w:rsidRDefault="001656D2" w:rsidP="001656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Примітка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: </w:t>
      </w:r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У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цій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документації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всі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посилання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конкретні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марку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чи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виробника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чи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на</w:t>
      </w:r>
      <w:proofErr w:type="gram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торгові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марки,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патенти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типи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або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конкретне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місце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походження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чи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спосіб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виробництва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слід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читати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з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виразом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“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або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еквівалент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”.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Посилання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конкретну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марку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чи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фірму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, патент,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конструкцію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або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тип товару є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необхідним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оскільки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за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основними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характеристиками </w:t>
      </w:r>
      <w:proofErr w:type="gram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вони</w:t>
      </w:r>
      <w:proofErr w:type="gram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відповідають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потребам </w:t>
      </w:r>
      <w:proofErr w:type="spellStart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Замовника</w:t>
      </w:r>
      <w:proofErr w:type="spellEnd"/>
      <w:r w:rsidRPr="001656D2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. </w:t>
      </w:r>
    </w:p>
    <w:p w:rsidR="001656D2" w:rsidRPr="001656D2" w:rsidRDefault="001656D2" w:rsidP="001656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Якщо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Учасником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пропонується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еквівалент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товару до того,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що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вимагається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Замовником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Таблиці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3, то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Учасник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вказує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найменування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еквівалентного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товару та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відомості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щодо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основних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ічних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якісних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характеристик товару,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що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ним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пропонується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. При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цьому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показники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ічних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характеристик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запропонованого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еквівалента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товару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повинні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відповідати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або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бути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кращими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показники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зазначені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технічній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специфікації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Замовника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.</w:t>
      </w:r>
    </w:p>
    <w:p w:rsidR="001656D2" w:rsidRPr="001656D2" w:rsidRDefault="001656D2" w:rsidP="001656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right="11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Розділ</w:t>
      </w:r>
      <w:proofErr w:type="spellEnd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2. </w:t>
      </w:r>
      <w:proofErr w:type="spellStart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Загальні</w:t>
      </w:r>
      <w:proofErr w:type="spellEnd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вимоги</w:t>
      </w:r>
      <w:proofErr w:type="spellEnd"/>
    </w:p>
    <w:p w:rsidR="001656D2" w:rsidRPr="001656D2" w:rsidRDefault="001656D2" w:rsidP="001656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1.</w:t>
      </w:r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запропонований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учасником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повинен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відповідати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ічним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якісним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кількісним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вимогам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встановленим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тендерною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документацією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часник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у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складі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пропозиції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повинен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надати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заповнену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таблицю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про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відповідність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ічним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вимогам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, при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цьому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учасник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зазначає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конкретну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назву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(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артикули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) та характеристики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запропонованого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товару та/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або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його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частини</w:t>
      </w:r>
      <w:proofErr w:type="spellEnd"/>
      <w:r w:rsidRPr="001656D2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(без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слів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та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позначок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“не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менше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”, “не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більше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”, “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вище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”, “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краще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”,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тощо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якщо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це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не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вказано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у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сертифікаті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/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паспорті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якості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виробника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) для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його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ідентифікації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та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можливості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встановити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відповідність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вимогам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Замовника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.</w:t>
      </w:r>
    </w:p>
    <w:p w:rsidR="001656D2" w:rsidRPr="001656D2" w:rsidRDefault="001656D2" w:rsidP="001656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2.</w:t>
      </w:r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пропонується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повинен бути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ічно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справним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таким,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був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використанні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за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допомогою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цього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товару не проводились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демонстраційні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заходи, без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зовнішніх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пошкоджень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відповідати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діючим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вимогам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(стандартам,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технічним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умовам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</w:p>
    <w:p w:rsidR="001656D2" w:rsidRPr="001656D2" w:rsidRDefault="001656D2" w:rsidP="001656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3. </w:t>
      </w:r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поставці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товару </w:t>
      </w:r>
      <w:proofErr w:type="gram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повинна</w:t>
      </w:r>
      <w:proofErr w:type="gram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додержуватись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цілісність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оригінальної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упаковки з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необхідними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даними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виробника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656D2" w:rsidRPr="001656D2" w:rsidRDefault="001656D2" w:rsidP="00165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30j0zll" w:colFirst="0" w:colLast="0"/>
      <w:bookmarkEnd w:id="1"/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4.</w:t>
      </w:r>
      <w:bookmarkStart w:id="2" w:name="_1fob9te" w:colFirst="0" w:colLast="0"/>
      <w:bookmarkEnd w:id="2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Виробник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товару,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поставленого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учасником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учасник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повинні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гарантійне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обслуговування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Термін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гарантії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якою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забезпечується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має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бути не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меншим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12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місяців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Термін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гарантійного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обслуговування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товару повинен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становити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менше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12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місяців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Доставка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гарантійного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обладнання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сервісний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замовника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зворотньо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відновлена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гарантійна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</w:t>
      </w:r>
      <w:proofErr w:type="gram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іка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сервісного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Замовнику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повинна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виконуватись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виключно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рахунок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учасника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На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п</w:t>
      </w:r>
      <w:proofErr w:type="gram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ідтвердження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у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складі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пропозиції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часник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надає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відповідний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гарантійний</w:t>
      </w:r>
      <w:proofErr w:type="spellEnd"/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лист</w:t>
      </w:r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656D2" w:rsidRPr="001656D2" w:rsidRDefault="001656D2" w:rsidP="001656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5</w:t>
      </w:r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3" w:name="_3znysh7" w:colFirst="0" w:colLast="0"/>
      <w:bookmarkEnd w:id="3"/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Неякісний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ідлягає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обов’язковій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заміні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витрати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пов’язані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із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заміною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товару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несе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постачальник</w:t>
      </w:r>
      <w:proofErr w:type="spellEnd"/>
      <w:r w:rsidRPr="00165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656D2" w:rsidRPr="001656D2" w:rsidRDefault="001656D2" w:rsidP="001656D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</w:pPr>
      <w:r w:rsidRPr="001656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1656D2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uk-UA"/>
        </w:rPr>
        <w:t>.</w:t>
      </w:r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У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вартість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товару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мають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бути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включені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всі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витрати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, </w:t>
      </w:r>
      <w:proofErr w:type="spellStart"/>
      <w:proofErr w:type="gram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пов’язан</w:t>
      </w:r>
      <w:proofErr w:type="gram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і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з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постачанням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товару, у тому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числі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: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витрати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на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транспортування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страхування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навантаження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,</w:t>
      </w:r>
      <w:r w:rsidRPr="001656D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1656D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відвантаження</w:t>
      </w:r>
      <w:proofErr w:type="spellEnd"/>
      <w:r w:rsidRPr="001656D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,</w:t>
      </w:r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сплату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податків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і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зборів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(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обов’язкових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платежів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 xml:space="preserve">, </w:t>
      </w:r>
      <w:proofErr w:type="spellStart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тощо</w:t>
      </w:r>
      <w:proofErr w:type="spellEnd"/>
      <w:r w:rsidRPr="001656D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uk-UA"/>
        </w:rPr>
        <w:t>).</w:t>
      </w:r>
      <w:r w:rsidRPr="001656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</w:p>
    <w:p w:rsidR="00CF7663" w:rsidRPr="001656D2" w:rsidRDefault="00CF7663" w:rsidP="00CF766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21F" w:rsidRPr="00E1121F" w:rsidRDefault="00743F52" w:rsidP="0040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lastRenderedPageBreak/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для предмета закупівлі </w:t>
      </w:r>
      <w:r w:rsidR="00407C81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«Обладнання та матеріали для системи гучномовного зв’язку»</w:t>
      </w:r>
      <w:r w:rsid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 </w:t>
      </w:r>
      <w:r w:rsidR="00A5428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код </w:t>
      </w:r>
      <w:r w:rsidR="00407C81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ДК 021:2015: 32340000-8 Мікрофони та гучномовці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затверджено рішенням сесії </w:t>
      </w:r>
      <w:proofErr w:type="spellStart"/>
      <w:r w:rsidR="00E1121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Долинської</w:t>
      </w:r>
      <w:proofErr w:type="spellEnd"/>
      <w:r w:rsidR="00E1121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міської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ради від 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03.04.2025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року №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4</w:t>
      </w:r>
      <w:r w:rsidR="00E1121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1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09</w:t>
      </w:r>
      <w:r w:rsidR="00E1121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-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52</w:t>
      </w:r>
      <w:r w:rsidR="00E1121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/202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5 та </w:t>
      </w:r>
      <w:r w:rsidR="00E826A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від 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28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.0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5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.2025 </w:t>
      </w:r>
      <w:r w:rsidR="00E826A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року №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4</w:t>
      </w:r>
      <w:r w:rsidR="00E826A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1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9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9</w:t>
      </w:r>
      <w:r w:rsidR="00E826A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-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5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6</w:t>
      </w:r>
      <w:r w:rsidR="00E826AF" w:rsidRPr="00407C81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/202</w:t>
      </w:r>
      <w:r w:rsidR="00E826A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5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</w:p>
    <w:p w:rsidR="00023275" w:rsidRPr="00E1121F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CF7663" w:rsidRPr="00CF7663">
        <w:t>1</w:t>
      </w:r>
      <w:r w:rsidR="00E826AF" w:rsidRPr="00E826AF">
        <w:t>77</w:t>
      </w:r>
      <w:r w:rsidR="006E6FB9" w:rsidRPr="006E6FB9">
        <w:t xml:space="preserve"> </w:t>
      </w:r>
      <w:r w:rsidR="00CF7663" w:rsidRPr="00CF7663">
        <w:t>00</w:t>
      </w:r>
      <w:r w:rsidR="006E6FB9" w:rsidRPr="00E4011F">
        <w:t>0</w:t>
      </w:r>
      <w:r w:rsidR="006E6FB9" w:rsidRPr="006E6FB9">
        <w:t xml:space="preserve">,00 </w:t>
      </w:r>
      <w:proofErr w:type="spellStart"/>
      <w:r w:rsidR="006E6FB9" w:rsidRPr="00832BB8">
        <w:t>грн</w:t>
      </w:r>
      <w:proofErr w:type="spellEnd"/>
      <w:r w:rsidR="006E6FB9" w:rsidRPr="00832BB8">
        <w:t xml:space="preserve"> (</w:t>
      </w:r>
      <w:r w:rsidR="00E826AF" w:rsidRPr="00C477D2">
        <w:rPr>
          <w:lang w:eastAsia="ru-RU"/>
        </w:rPr>
        <w:t>сто сімдесят сім тисяч гривень, 00 копійок</w:t>
      </w:r>
      <w:r w:rsidR="006E6FB9" w:rsidRPr="00832BB8">
        <w:t>),</w:t>
      </w:r>
      <w:r w:rsidR="00431BFA" w:rsidRPr="00832BB8">
        <w:t xml:space="preserve"> 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A82"/>
    <w:multiLevelType w:val="hybridMultilevel"/>
    <w:tmpl w:val="BA56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03F7"/>
    <w:multiLevelType w:val="hybridMultilevel"/>
    <w:tmpl w:val="897CE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2007"/>
    <w:multiLevelType w:val="hybridMultilevel"/>
    <w:tmpl w:val="872E7AC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4F869BA">
      <w:numFmt w:val="bullet"/>
      <w:lvlText w:val="•"/>
      <w:lvlJc w:val="left"/>
      <w:pPr>
        <w:ind w:left="1582" w:hanging="360"/>
      </w:pPr>
      <w:rPr>
        <w:rFonts w:ascii="Cambria" w:eastAsia="Calibri" w:hAnsi="Cambri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E5B3319"/>
    <w:multiLevelType w:val="hybridMultilevel"/>
    <w:tmpl w:val="1214D2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656D2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07C81"/>
    <w:rsid w:val="00431BFA"/>
    <w:rsid w:val="004360F9"/>
    <w:rsid w:val="00454BB5"/>
    <w:rsid w:val="0045726B"/>
    <w:rsid w:val="00462539"/>
    <w:rsid w:val="00544A28"/>
    <w:rsid w:val="00547487"/>
    <w:rsid w:val="00576D72"/>
    <w:rsid w:val="005770A9"/>
    <w:rsid w:val="00584317"/>
    <w:rsid w:val="005F6DBA"/>
    <w:rsid w:val="00610BAE"/>
    <w:rsid w:val="00633050"/>
    <w:rsid w:val="006656BC"/>
    <w:rsid w:val="0069653E"/>
    <w:rsid w:val="006E6FB9"/>
    <w:rsid w:val="00743F52"/>
    <w:rsid w:val="007C411F"/>
    <w:rsid w:val="007D491E"/>
    <w:rsid w:val="007E45F5"/>
    <w:rsid w:val="00863F3A"/>
    <w:rsid w:val="00870ACC"/>
    <w:rsid w:val="00876BFF"/>
    <w:rsid w:val="008B3694"/>
    <w:rsid w:val="009462B1"/>
    <w:rsid w:val="0097668A"/>
    <w:rsid w:val="009A11AD"/>
    <w:rsid w:val="009C06FB"/>
    <w:rsid w:val="009C4AC5"/>
    <w:rsid w:val="00A20440"/>
    <w:rsid w:val="00A36C1C"/>
    <w:rsid w:val="00A54289"/>
    <w:rsid w:val="00A85059"/>
    <w:rsid w:val="00AA6B47"/>
    <w:rsid w:val="00B15D79"/>
    <w:rsid w:val="00B2543F"/>
    <w:rsid w:val="00B60ED4"/>
    <w:rsid w:val="00B666AC"/>
    <w:rsid w:val="00BC0BA3"/>
    <w:rsid w:val="00C23D9B"/>
    <w:rsid w:val="00C24D82"/>
    <w:rsid w:val="00CF7663"/>
    <w:rsid w:val="00D726F5"/>
    <w:rsid w:val="00DF77A2"/>
    <w:rsid w:val="00E1121F"/>
    <w:rsid w:val="00E250C3"/>
    <w:rsid w:val="00E37CD8"/>
    <w:rsid w:val="00E524A9"/>
    <w:rsid w:val="00E826AF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2025-06-12T06:56:00Z</dcterms:created>
  <dcterms:modified xsi:type="dcterms:W3CDTF">2025-06-12T07:52:00Z</dcterms:modified>
</cp:coreProperties>
</file>