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907033">
        <w:rPr>
          <w:rFonts w:ascii="Times New Roman" w:hAnsi="Times New Roman"/>
          <w:b/>
          <w:sz w:val="24"/>
          <w:szCs w:val="24"/>
        </w:rPr>
        <w:t xml:space="preserve">Крупи та борошно </w:t>
      </w:r>
      <w:r w:rsidR="009A11AD"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A11AD" w:rsidRPr="001F0190" w:rsidRDefault="009A11AD" w:rsidP="0090703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907033" w:rsidRPr="00907033">
        <w:rPr>
          <w:rFonts w:ascii="Times New Roman" w:hAnsi="Times New Roman"/>
          <w:b/>
          <w:snapToGrid w:val="0"/>
          <w:sz w:val="24"/>
          <w:szCs w:val="24"/>
        </w:rPr>
        <w:t>15610000-7 Продукція борошномельно-круп’яної промисловості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36C1C" w:rsidRPr="008243D4" w:rsidRDefault="00A36C1C" w:rsidP="00A3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0687D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="00E0687D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E0687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0687D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E0687D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3E1346" w:rsidRPr="00C23D9B">
        <w:rPr>
          <w:rFonts w:ascii="Times New Roman" w:hAnsi="Times New Roman" w:cs="Times New Roman"/>
          <w:sz w:val="24"/>
          <w:szCs w:val="24"/>
        </w:rPr>
        <w:t>ької області у 202</w:t>
      </w:r>
      <w:r w:rsidR="00446144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446144" w:rsidRPr="00446144">
        <w:rPr>
          <w:rFonts w:ascii="Times New Roman" w:hAnsi="Times New Roman" w:cs="Times New Roman"/>
          <w:sz w:val="24"/>
          <w:szCs w:val="24"/>
        </w:rPr>
        <w:t>UA-2023-12-12-018981-a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56D03" w:rsidRDefault="00156D03" w:rsidP="00156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>
        <w:rPr>
          <w:rFonts w:ascii="Times New Roman" w:hAnsi="Times New Roman" w:cs="Times New Roman"/>
          <w:sz w:val="24"/>
          <w:szCs w:val="24"/>
        </w:rPr>
        <w:t>товару</w:t>
      </w:r>
      <w:r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907033" w:rsidRDefault="00907033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AD" w:rsidRPr="00696CE3" w:rsidRDefault="009A11AD" w:rsidP="009A11AD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lang w:eastAsia="ru-RU"/>
        </w:rPr>
      </w:pPr>
      <w:r w:rsidRPr="00696CE3">
        <w:rPr>
          <w:rFonts w:ascii="Times New Roman" w:hAnsi="Times New Roman"/>
          <w:lang w:eastAsia="ru-RU"/>
        </w:rPr>
        <w:t>Технічні параметри:</w:t>
      </w:r>
    </w:p>
    <w:tbl>
      <w:tblPr>
        <w:tblW w:w="102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5"/>
        <w:gridCol w:w="1772"/>
        <w:gridCol w:w="2127"/>
        <w:gridCol w:w="1560"/>
        <w:gridCol w:w="1127"/>
        <w:gridCol w:w="2979"/>
      </w:tblGrid>
      <w:tr w:rsidR="00907033" w:rsidTr="00907033">
        <w:trPr>
          <w:trHeight w:val="4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right="-127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№ п/</w:t>
            </w:r>
            <w:proofErr w:type="spellStart"/>
            <w:r>
              <w:rPr>
                <w:rFonts w:ascii="Times New Roman" w:eastAsia="Arial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Найменування товару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Деталізований код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 w:right="-115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Одиниця вимірювання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 w:right="-108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Кількість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Відповідність діючим стандартам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Борош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uk-UA"/>
              </w:rPr>
              <w:t>но пшеничне</w:t>
            </w:r>
            <w:r>
              <w:rPr>
                <w:rFonts w:ascii="Times New Roman" w:eastAsia="Arial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15612100-2 - Борошно пшеничне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180</w:t>
            </w:r>
            <w:r w:rsidR="00907033">
              <w:rPr>
                <w:rFonts w:ascii="Times New Roman" w:eastAsia="Arial" w:hAnsi="Times New Roman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color w:val="333333"/>
                <w:shd w:val="clear" w:color="auto" w:fill="FEFEFE"/>
              </w:rPr>
              <w:t>ГСТУ 46.004-99 Борошно пшеничне.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Крупа гречана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15613000-8 - Продукція із зерна зернових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 w:rsidP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1</w:t>
            </w:r>
            <w:r w:rsidR="00446144">
              <w:rPr>
                <w:rFonts w:ascii="Times New Roman" w:eastAsia="Arial" w:hAnsi="Times New Roman"/>
                <w:lang w:eastAsia="ru-RU"/>
              </w:rPr>
              <w:t>213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ДСТУ 7697:2015 Крупи гречані.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Крупа вівсяна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shd w:val="clear" w:color="auto" w:fill="FDFEFD"/>
              </w:rPr>
              <w:t>15613100-9 – Вівсяна крупа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 w:rsidP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3</w:t>
            </w:r>
            <w:r w:rsidR="00446144">
              <w:rPr>
                <w:rFonts w:ascii="Times New Roman" w:eastAsia="Arial" w:hAnsi="Times New Roman"/>
                <w:lang w:eastAsia="ru-RU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ДСТУ 7698:2015 Крупи вівсяні.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Крупа кукурудзяна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15613000-8 - Продукція із зерна зернових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34</w:t>
            </w:r>
            <w:r w:rsidR="00907033">
              <w:rPr>
                <w:rFonts w:ascii="Times New Roman" w:eastAsia="Arial" w:hAnsi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 w:rsidP="0044614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ДСТУ </w:t>
            </w:r>
            <w:r w:rsidR="00446144">
              <w:rPr>
                <w:rFonts w:ascii="Times New Roman" w:hAnsi="Times New Roman"/>
                <w:lang w:eastAsia="ru-RU"/>
              </w:rPr>
              <w:t>6002</w:t>
            </w:r>
            <w:r>
              <w:rPr>
                <w:rFonts w:ascii="Times New Roman" w:hAnsi="Times New Roman"/>
                <w:lang w:eastAsia="ru-RU"/>
              </w:rPr>
              <w:t>:20</w:t>
            </w:r>
            <w:r w:rsidR="00446144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 xml:space="preserve"> Крупи, що швидко розварюються.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Крупа пшенична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15613000-8 - Продукція із зерна зернових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257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ДСТУ 7699:2015 Крупи пшеничні.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Крупа ячмінна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15613000-8 - Продукція із зерна зернових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235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ДСТУ 7700:2015 Крупи ячмінні.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Крупа перлова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15613000-8 - Продукція із зерна зернових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Pr="00907033" w:rsidRDefault="00907033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ДСТУ 7700:2015 Крупи ячмінні перлові.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Крупа пшоняна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15613000-8 - Продукція із зерна зернових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265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446144" w:rsidP="0044614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ДСТУ </w:t>
            </w:r>
            <w:r w:rsidR="00907033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72</w:t>
            </w:r>
            <w:r w:rsidR="00907033">
              <w:rPr>
                <w:rFonts w:ascii="Times New Roman" w:hAnsi="Times New Roman"/>
                <w:lang w:eastAsia="ru-RU"/>
              </w:rPr>
              <w:t>:20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="00907033">
              <w:rPr>
                <w:rFonts w:ascii="Times New Roman" w:hAnsi="Times New Roman"/>
                <w:lang w:eastAsia="ru-RU"/>
              </w:rPr>
              <w:t>6 Крупи, що швидко розварюються. 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15614000-5 - Рис оброблений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1148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44" w:rsidRDefault="00907033" w:rsidP="00446144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ДСТУ </w:t>
            </w:r>
            <w:r w:rsidR="00446144">
              <w:rPr>
                <w:rFonts w:ascii="Times New Roman" w:hAnsi="Times New Roman"/>
                <w:lang w:eastAsia="ru-RU"/>
              </w:rPr>
              <w:t>6292-93</w:t>
            </w:r>
            <w:r>
              <w:rPr>
                <w:rFonts w:ascii="Times New Roman" w:hAnsi="Times New Roman"/>
                <w:lang w:eastAsia="ru-RU"/>
              </w:rPr>
              <w:t xml:space="preserve"> Рис. </w:t>
            </w:r>
          </w:p>
          <w:p w:rsidR="00907033" w:rsidRDefault="00907033" w:rsidP="0044614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Технічні умови</w:t>
            </w:r>
          </w:p>
        </w:tc>
      </w:tr>
      <w:tr w:rsidR="00907033" w:rsidTr="00907033">
        <w:trPr>
          <w:trHeight w:val="2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7033" w:rsidRDefault="00907033">
            <w:pPr>
              <w:spacing w:after="120" w:line="240" w:lineRule="auto"/>
              <w:ind w:left="142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lastRenderedPageBreak/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rPr>
                <w:rFonts w:ascii="Times New Roman" w:eastAsia="Arial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Arial" w:hAnsi="Times New Roman"/>
                <w:lang w:eastAsia="ru-RU"/>
              </w:rPr>
              <w:t>Булгур</w:t>
            </w:r>
            <w:proofErr w:type="spellEnd"/>
            <w:r>
              <w:rPr>
                <w:rFonts w:ascii="Times New Roman" w:eastAsia="Arial" w:hAnsi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>15613000-8 - Продукція із зерна зернових культур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907033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кг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033" w:rsidRDefault="00446144">
            <w:pPr>
              <w:spacing w:after="120" w:line="240" w:lineRule="auto"/>
              <w:ind w:left="3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/>
                <w:lang w:eastAsia="ru-RU"/>
              </w:rPr>
              <w:t>46</w:t>
            </w:r>
            <w:r w:rsidR="00907033">
              <w:rPr>
                <w:rFonts w:ascii="Times New Roman" w:eastAsia="Arial" w:hAnsi="Times New Roman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33" w:rsidRDefault="00907033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ДСТУ 7699:2015 Крупи пшеничні. Технічні умови"</w:t>
            </w:r>
          </w:p>
        </w:tc>
      </w:tr>
    </w:tbl>
    <w:p w:rsidR="00907033" w:rsidRDefault="00907033" w:rsidP="00907033">
      <w:pPr>
        <w:tabs>
          <w:tab w:val="left" w:pos="2460"/>
        </w:tabs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4461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446144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B655AC">
        <w:t>235</w:t>
      </w:r>
      <w:r w:rsidR="00B655AC" w:rsidRPr="00B655AC">
        <w:t>460</w:t>
      </w:r>
      <w:r w:rsidR="0030497B" w:rsidRPr="0030497B">
        <w:t>,00</w:t>
      </w:r>
      <w:r w:rsidRPr="0030497B">
        <w:t xml:space="preserve"> грн. з ПДВ.</w:t>
      </w:r>
    </w:p>
    <w:sectPr w:rsidR="0069653E" w:rsidSect="00C90FEE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3D21"/>
    <w:rsid w:val="00023275"/>
    <w:rsid w:val="000C7C6B"/>
    <w:rsid w:val="000D0ABB"/>
    <w:rsid w:val="001202EE"/>
    <w:rsid w:val="00156D03"/>
    <w:rsid w:val="001C7F4E"/>
    <w:rsid w:val="00232258"/>
    <w:rsid w:val="00274B60"/>
    <w:rsid w:val="002C40EF"/>
    <w:rsid w:val="002D0EDF"/>
    <w:rsid w:val="002E1CAA"/>
    <w:rsid w:val="002E68F9"/>
    <w:rsid w:val="002F2950"/>
    <w:rsid w:val="0030497B"/>
    <w:rsid w:val="00356F5A"/>
    <w:rsid w:val="00383F0E"/>
    <w:rsid w:val="003C60FB"/>
    <w:rsid w:val="003E1346"/>
    <w:rsid w:val="003F55DB"/>
    <w:rsid w:val="00401462"/>
    <w:rsid w:val="00446144"/>
    <w:rsid w:val="00454BB5"/>
    <w:rsid w:val="00544A28"/>
    <w:rsid w:val="00576D72"/>
    <w:rsid w:val="00584317"/>
    <w:rsid w:val="005F6DBA"/>
    <w:rsid w:val="00610BAE"/>
    <w:rsid w:val="00633050"/>
    <w:rsid w:val="0069653E"/>
    <w:rsid w:val="007348F5"/>
    <w:rsid w:val="00743F52"/>
    <w:rsid w:val="007C411F"/>
    <w:rsid w:val="007D491E"/>
    <w:rsid w:val="007E45F5"/>
    <w:rsid w:val="00840CBD"/>
    <w:rsid w:val="00876BFF"/>
    <w:rsid w:val="008B3694"/>
    <w:rsid w:val="00907033"/>
    <w:rsid w:val="0097668A"/>
    <w:rsid w:val="009A11AD"/>
    <w:rsid w:val="009C06FB"/>
    <w:rsid w:val="009C4AC5"/>
    <w:rsid w:val="00A36C1C"/>
    <w:rsid w:val="00A85059"/>
    <w:rsid w:val="00B655AC"/>
    <w:rsid w:val="00B666AC"/>
    <w:rsid w:val="00C051BD"/>
    <w:rsid w:val="00C23D9B"/>
    <w:rsid w:val="00C24D82"/>
    <w:rsid w:val="00C90FEE"/>
    <w:rsid w:val="00E0687D"/>
    <w:rsid w:val="00E250C3"/>
    <w:rsid w:val="00E545A5"/>
    <w:rsid w:val="00E97A3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2023-12-12T08:10:00Z</dcterms:created>
  <dcterms:modified xsi:type="dcterms:W3CDTF">2023-12-15T08:41:00Z</dcterms:modified>
</cp:coreProperties>
</file>