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E37CD8" w:rsidRDefault="002E1CAA" w:rsidP="00E37CD8">
      <w:pPr>
        <w:pStyle w:val="2"/>
        <w:rPr>
          <w:rFonts w:eastAsia="Times New Roman"/>
          <w:color w:val="000000" w:themeColor="text1"/>
          <w:bdr w:val="none" w:sz="0" w:space="0" w:color="auto" w:frame="1"/>
          <w:lang w:eastAsia="uk-UA"/>
        </w:rPr>
      </w:pPr>
      <w:proofErr w:type="spellStart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>Обгрунтування</w:t>
      </w:r>
      <w:proofErr w:type="spellEnd"/>
      <w:r w:rsidRPr="00E37CD8">
        <w:rPr>
          <w:rFonts w:eastAsia="Times New Roman"/>
          <w:color w:val="000000" w:themeColor="text1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6E6FB9" w:rsidRPr="006E6FB9">
        <w:rPr>
          <w:rFonts w:ascii="Times New Roman" w:hAnsi="Times New Roman"/>
          <w:b/>
          <w:sz w:val="24"/>
          <w:szCs w:val="24"/>
          <w:lang w:eastAsia="ru-RU"/>
        </w:rPr>
        <w:t>Яйця курячі</w:t>
      </w:r>
    </w:p>
    <w:p w:rsidR="009A11AD" w:rsidRPr="001F0190" w:rsidRDefault="009A11AD" w:rsidP="00B15D7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6E6FB9" w:rsidRPr="006E6FB9">
        <w:rPr>
          <w:rFonts w:ascii="Times New Roman" w:hAnsi="Times New Roman"/>
          <w:b/>
          <w:snapToGrid w:val="0"/>
          <w:sz w:val="24"/>
          <w:szCs w:val="24"/>
        </w:rPr>
        <w:t>03140000-4 – Продукція тваринництва та супутня продукція (03142500-3 Яйця)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6E6FB9" w:rsidRPr="006E6FB9">
        <w:rPr>
          <w:rFonts w:ascii="Times New Roman" w:hAnsi="Times New Roman" w:cs="Times New Roman"/>
          <w:sz w:val="24"/>
          <w:szCs w:val="24"/>
        </w:rPr>
        <w:t>UA-2023-12-11-019187-a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1E2AD6" w:rsidRDefault="001E2AD6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B9" w:rsidRPr="00D70885" w:rsidRDefault="009A11AD" w:rsidP="006E6FB9">
      <w:pPr>
        <w:pStyle w:val="ShiftAlt"/>
        <w:ind w:firstLine="0"/>
        <w:rPr>
          <w:sz w:val="22"/>
          <w:szCs w:val="22"/>
        </w:rPr>
      </w:pPr>
      <w:r w:rsidRPr="00696CE3">
        <w:rPr>
          <w:lang w:eastAsia="ru-RU"/>
        </w:rPr>
        <w:t>Технічні параметри:</w:t>
      </w:r>
      <w:r w:rsidR="00B15D79" w:rsidRPr="00B15D79">
        <w:rPr>
          <w:rFonts w:eastAsia="Calibri"/>
        </w:rPr>
        <w:t xml:space="preserve"> 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1861"/>
        <w:gridCol w:w="1705"/>
        <w:gridCol w:w="1319"/>
        <w:gridCol w:w="3967"/>
      </w:tblGrid>
      <w:tr w:rsidR="006E6FB9" w:rsidRPr="00D70885" w:rsidTr="00AA11E3">
        <w:trPr>
          <w:trHeight w:val="483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№ п/</w:t>
            </w:r>
            <w:proofErr w:type="spellStart"/>
            <w:r w:rsidRPr="00D70885">
              <w:rPr>
                <w:rFonts w:eastAsia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61" w:type="dxa"/>
            <w:shd w:val="clear" w:color="auto" w:fill="auto"/>
            <w:vAlign w:val="center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Найменування товару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Одиниця вимірювання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E6FB9" w:rsidRPr="00D70885" w:rsidRDefault="006E6FB9" w:rsidP="00AA11E3">
            <w:pPr>
              <w:pStyle w:val="ShiftAlt"/>
              <w:ind w:firstLine="0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Кількість</w:t>
            </w:r>
          </w:p>
        </w:tc>
        <w:tc>
          <w:tcPr>
            <w:tcW w:w="3967" w:type="dxa"/>
            <w:shd w:val="clear" w:color="auto" w:fill="auto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Відповідність діючим стандартам</w:t>
            </w:r>
          </w:p>
        </w:tc>
      </w:tr>
      <w:tr w:rsidR="006E6FB9" w:rsidRPr="00D70885" w:rsidTr="00AA11E3">
        <w:trPr>
          <w:trHeight w:val="228"/>
          <w:jc w:val="center"/>
        </w:trPr>
        <w:tc>
          <w:tcPr>
            <w:tcW w:w="682" w:type="dxa"/>
            <w:shd w:val="clear" w:color="auto" w:fill="FFFFFF"/>
            <w:vAlign w:val="center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861" w:type="dxa"/>
            <w:vAlign w:val="center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bCs/>
                <w:sz w:val="22"/>
                <w:szCs w:val="22"/>
              </w:rPr>
            </w:pPr>
            <w:r w:rsidRPr="00D70885">
              <w:rPr>
                <w:rFonts w:eastAsia="Times New Roman"/>
                <w:bCs/>
                <w:sz w:val="22"/>
                <w:szCs w:val="22"/>
              </w:rPr>
              <w:t>Яйця курячі</w:t>
            </w:r>
          </w:p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:rsidR="006E6FB9" w:rsidRPr="00D70885" w:rsidRDefault="006E6FB9" w:rsidP="00AA11E3">
            <w:pPr>
              <w:pStyle w:val="ShiftAlt"/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19" w:type="dxa"/>
            <w:vAlign w:val="center"/>
          </w:tcPr>
          <w:p w:rsidR="006E6FB9" w:rsidRPr="00112E7D" w:rsidRDefault="006E6FB9" w:rsidP="00AA11E3">
            <w:pPr>
              <w:pStyle w:val="ShiftAlt"/>
              <w:rPr>
                <w:rFonts w:eastAsia="Times New Roman"/>
                <w:sz w:val="22"/>
                <w:szCs w:val="22"/>
                <w:lang w:val="ru-RU"/>
              </w:rPr>
            </w:pPr>
            <w:r w:rsidRPr="00E4011F">
              <w:rPr>
                <w:rFonts w:eastAsia="Times New Roman"/>
                <w:sz w:val="22"/>
                <w:szCs w:val="22"/>
                <w:lang w:val="ru-RU"/>
              </w:rPr>
              <w:t>46280</w:t>
            </w:r>
          </w:p>
        </w:tc>
        <w:tc>
          <w:tcPr>
            <w:tcW w:w="3967" w:type="dxa"/>
          </w:tcPr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  <w:r w:rsidRPr="00D70885">
              <w:rPr>
                <w:rFonts w:eastAsia="Times New Roman"/>
                <w:sz w:val="22"/>
                <w:szCs w:val="22"/>
              </w:rPr>
              <w:t>ДСТУ 5028:2008 Яйця курячі харчові. Технічні умови</w:t>
            </w:r>
          </w:p>
          <w:p w:rsidR="006E6FB9" w:rsidRPr="00D70885" w:rsidRDefault="006E6FB9" w:rsidP="00AA11E3">
            <w:pPr>
              <w:pStyle w:val="ShiftAl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1E2AD6" w:rsidRPr="006E6FB9" w:rsidRDefault="001E2AD6" w:rsidP="006E6FB9">
      <w:pPr>
        <w:pStyle w:val="ShiftAlt"/>
        <w:ind w:firstLine="567"/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 w:rsidR="0035434B">
        <w:rPr>
          <w:rFonts w:ascii="Times New Roman" w:hAnsi="Times New Roman" w:cs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 w:cs="Times New Roman"/>
          <w:sz w:val="24"/>
          <w:szCs w:val="24"/>
        </w:rPr>
        <w:t>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6E6FB9" w:rsidRPr="00E4011F">
        <w:t>300</w:t>
      </w:r>
      <w:r w:rsidR="006E6FB9" w:rsidRPr="006E6FB9">
        <w:t xml:space="preserve"> </w:t>
      </w:r>
      <w:r w:rsidR="006E6FB9" w:rsidRPr="00E4011F">
        <w:t>820</w:t>
      </w:r>
      <w:r w:rsidR="006E6FB9" w:rsidRPr="006E6FB9">
        <w:t xml:space="preserve">,00 </w:t>
      </w:r>
      <w:proofErr w:type="spellStart"/>
      <w:r w:rsidR="006E6FB9" w:rsidRPr="00832BB8">
        <w:t>грн</w:t>
      </w:r>
      <w:proofErr w:type="spellEnd"/>
      <w:r w:rsidR="006E6FB9" w:rsidRPr="00832BB8">
        <w:t xml:space="preserve"> (</w:t>
      </w:r>
      <w:r w:rsidR="006E6FB9" w:rsidRPr="00E4011F">
        <w:t>триста тисяч вісімсот двадцять гривень, 00 копійок</w:t>
      </w:r>
      <w:r w:rsidR="006E6FB9" w:rsidRPr="00832BB8">
        <w:t>),</w:t>
      </w:r>
      <w:r w:rsidR="00431BFA" w:rsidRPr="00832BB8">
        <w:t xml:space="preserve"> з урахуванням ПДВ</w:t>
      </w:r>
      <w:r w:rsidRPr="0030497B">
        <w:t>.</w:t>
      </w:r>
      <w:bookmarkStart w:id="0" w:name="_GoBack"/>
      <w:bookmarkEnd w:id="0"/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434B"/>
    <w:rsid w:val="00356F5A"/>
    <w:rsid w:val="00383F0E"/>
    <w:rsid w:val="003C60FB"/>
    <w:rsid w:val="003E1346"/>
    <w:rsid w:val="003F55DB"/>
    <w:rsid w:val="00401462"/>
    <w:rsid w:val="00431BFA"/>
    <w:rsid w:val="004360F9"/>
    <w:rsid w:val="00454BB5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6E6FB9"/>
    <w:rsid w:val="00743F52"/>
    <w:rsid w:val="007C411F"/>
    <w:rsid w:val="007D491E"/>
    <w:rsid w:val="007E45F5"/>
    <w:rsid w:val="00870ACC"/>
    <w:rsid w:val="00876BFF"/>
    <w:rsid w:val="008B3694"/>
    <w:rsid w:val="009462B1"/>
    <w:rsid w:val="0097668A"/>
    <w:rsid w:val="009A11AD"/>
    <w:rsid w:val="009C06FB"/>
    <w:rsid w:val="009C4AC5"/>
    <w:rsid w:val="00A36C1C"/>
    <w:rsid w:val="00A85059"/>
    <w:rsid w:val="00B15D79"/>
    <w:rsid w:val="00B2543F"/>
    <w:rsid w:val="00B666AC"/>
    <w:rsid w:val="00BC0BA3"/>
    <w:rsid w:val="00C23D9B"/>
    <w:rsid w:val="00C24D82"/>
    <w:rsid w:val="00D726F5"/>
    <w:rsid w:val="00DF77A2"/>
    <w:rsid w:val="00E250C3"/>
    <w:rsid w:val="00E37CD8"/>
    <w:rsid w:val="00E524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2">
    <w:name w:val="heading 2"/>
    <w:basedOn w:val="a"/>
    <w:next w:val="a"/>
    <w:link w:val="20"/>
    <w:uiPriority w:val="9"/>
    <w:unhideWhenUsed/>
    <w:qFormat/>
    <w:rsid w:val="00E37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37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hiftAlt">
    <w:name w:val="Додаток_основной_текст (Додаток___Shift+Alt)"/>
    <w:uiPriority w:val="2"/>
    <w:rsid w:val="00B15D79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2023-12-12T08:11:00Z</dcterms:created>
  <dcterms:modified xsi:type="dcterms:W3CDTF">2023-12-12T08:15:00Z</dcterms:modified>
</cp:coreProperties>
</file>