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4A27B046" w:rsidR="00CD344E" w:rsidRDefault="002E1CAA" w:rsidP="004403D2">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E303D6" w:rsidRPr="00E303D6">
        <w:rPr>
          <w:rFonts w:ascii="Times New Roman" w:hAnsi="Times New Roman" w:cs="Times New Roman"/>
          <w:b/>
          <w:bCs/>
          <w:bdr w:val="none" w:sz="0" w:space="0" w:color="auto" w:frame="1"/>
          <w:lang w:val="uk-UA" w:eastAsia="uk-UA"/>
        </w:rPr>
        <w:t>Послуги з організації гарячого харчування вихованців в ЗДО (дитячий садок) «Зернятко»</w:t>
      </w:r>
    </w:p>
    <w:p w14:paraId="7671B65E" w14:textId="08AB0850" w:rsidR="002E1CAA" w:rsidRPr="00907B4B"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659CE25F"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403D2" w:rsidRPr="004403D2">
        <w:rPr>
          <w:rFonts w:ascii="Times New Roman" w:hAnsi="Times New Roman" w:cs="Times New Roman"/>
          <w:sz w:val="24"/>
          <w:szCs w:val="24"/>
        </w:rPr>
        <w:t>вихованців ЗДО (дитячий садок) «</w:t>
      </w:r>
      <w:r w:rsidR="00E303D6" w:rsidRPr="00E303D6">
        <w:rPr>
          <w:rFonts w:ascii="Times New Roman" w:hAnsi="Times New Roman" w:cs="Times New Roman"/>
          <w:sz w:val="24"/>
          <w:szCs w:val="24"/>
        </w:rPr>
        <w:t>Зернятко</w:t>
      </w:r>
      <w:r w:rsidR="004403D2" w:rsidRPr="004403D2">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3781660B"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E303D6" w:rsidRPr="00E303D6">
        <w:rPr>
          <w:rFonts w:ascii="Times New Roman" w:eastAsia="Times New Roman" w:hAnsi="Times New Roman" w:cs="Times New Roman"/>
          <w:sz w:val="24"/>
          <w:szCs w:val="24"/>
          <w:bdr w:val="none" w:sz="0" w:space="0" w:color="auto" w:frame="1"/>
          <w:lang w:eastAsia="uk-UA"/>
        </w:rPr>
        <w:t>UA-2023-12-22-018650-a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8"/>
        <w:gridCol w:w="2106"/>
        <w:gridCol w:w="2213"/>
      </w:tblGrid>
      <w:tr w:rsidR="00890C57" w14:paraId="476A3710" w14:textId="77777777" w:rsidTr="00890C57">
        <w:trPr>
          <w:trHeight w:val="316"/>
          <w:jc w:val="center"/>
        </w:trPr>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6B29B0FE" w14:textId="77777777" w:rsidR="00890C57" w:rsidRDefault="00890C57">
            <w:pPr>
              <w:ind w:right="-73"/>
              <w:jc w:val="center"/>
              <w:rPr>
                <w:rFonts w:ascii="Times New Roman" w:hAnsi="Times New Roman"/>
                <w:sz w:val="20"/>
                <w:szCs w:val="20"/>
              </w:rPr>
            </w:pPr>
            <w:r>
              <w:rPr>
                <w:rFonts w:ascii="Times New Roman" w:hAnsi="Times New Roman"/>
                <w:color w:val="000000"/>
                <w:spacing w:val="-7"/>
                <w:sz w:val="20"/>
                <w:szCs w:val="20"/>
              </w:rPr>
              <w:t>Назва закладу</w:t>
            </w:r>
          </w:p>
        </w:tc>
        <w:tc>
          <w:tcPr>
            <w:tcW w:w="4319" w:type="dxa"/>
            <w:gridSpan w:val="2"/>
            <w:tcBorders>
              <w:top w:val="single" w:sz="4" w:space="0" w:color="auto"/>
              <w:left w:val="single" w:sz="4" w:space="0" w:color="auto"/>
              <w:bottom w:val="single" w:sz="4" w:space="0" w:color="auto"/>
              <w:right w:val="single" w:sz="4" w:space="0" w:color="auto"/>
            </w:tcBorders>
            <w:hideMark/>
          </w:tcPr>
          <w:p w14:paraId="3977E3C8" w14:textId="77777777" w:rsidR="00890C57" w:rsidRDefault="00890C57">
            <w:pPr>
              <w:ind w:right="-73"/>
              <w:jc w:val="center"/>
              <w:rPr>
                <w:rFonts w:ascii="Times New Roman" w:hAnsi="Times New Roman"/>
                <w:bCs/>
                <w:sz w:val="20"/>
                <w:szCs w:val="20"/>
                <w:lang w:val="ru-RU"/>
              </w:rPr>
            </w:pPr>
            <w:r>
              <w:rPr>
                <w:rFonts w:ascii="Times New Roman" w:hAnsi="Times New Roman"/>
                <w:bCs/>
                <w:sz w:val="20"/>
                <w:szCs w:val="20"/>
              </w:rPr>
              <w:t>Дошкільне відділення</w:t>
            </w:r>
          </w:p>
        </w:tc>
      </w:tr>
      <w:tr w:rsidR="00890C57" w14:paraId="2A7D739C" w14:textId="77777777" w:rsidTr="00890C57">
        <w:trPr>
          <w:trHeight w:val="521"/>
          <w:jc w:val="center"/>
        </w:trPr>
        <w:tc>
          <w:tcPr>
            <w:tcW w:w="4368" w:type="dxa"/>
            <w:vMerge/>
            <w:tcBorders>
              <w:top w:val="single" w:sz="4" w:space="0" w:color="auto"/>
              <w:left w:val="single" w:sz="4" w:space="0" w:color="auto"/>
              <w:bottom w:val="single" w:sz="4" w:space="0" w:color="auto"/>
              <w:right w:val="single" w:sz="4" w:space="0" w:color="auto"/>
            </w:tcBorders>
            <w:vAlign w:val="center"/>
            <w:hideMark/>
          </w:tcPr>
          <w:p w14:paraId="50CF3E9F" w14:textId="77777777" w:rsidR="00890C57" w:rsidRDefault="00890C57">
            <w:pPr>
              <w:spacing w:after="0" w:line="240" w:lineRule="auto"/>
              <w:rPr>
                <w:rFonts w:ascii="Times New Roman" w:hAnsi="Times New Roman" w:cs="Times New Roman"/>
                <w:sz w:val="20"/>
                <w:szCs w:val="20"/>
              </w:rPr>
            </w:pPr>
          </w:p>
        </w:tc>
        <w:tc>
          <w:tcPr>
            <w:tcW w:w="2106" w:type="dxa"/>
            <w:tcBorders>
              <w:top w:val="single" w:sz="4" w:space="0" w:color="auto"/>
              <w:left w:val="single" w:sz="4" w:space="0" w:color="auto"/>
              <w:bottom w:val="single" w:sz="4" w:space="0" w:color="auto"/>
              <w:right w:val="single" w:sz="4" w:space="0" w:color="auto"/>
            </w:tcBorders>
            <w:hideMark/>
          </w:tcPr>
          <w:p w14:paraId="39A2437C" w14:textId="77777777" w:rsidR="00890C57" w:rsidRDefault="00890C57">
            <w:pPr>
              <w:ind w:left="-108" w:right="-66" w:firstLine="83"/>
              <w:jc w:val="center"/>
              <w:rPr>
                <w:rFonts w:ascii="Times New Roman" w:hAnsi="Times New Roman"/>
                <w:sz w:val="18"/>
                <w:szCs w:val="18"/>
              </w:rPr>
            </w:pPr>
            <w:r>
              <w:rPr>
                <w:rFonts w:ascii="Times New Roman" w:hAnsi="Times New Roman"/>
                <w:sz w:val="18"/>
                <w:szCs w:val="18"/>
              </w:rPr>
              <w:t>вихованці вікової групи від 1 до 4 років</w:t>
            </w:r>
          </w:p>
        </w:tc>
        <w:tc>
          <w:tcPr>
            <w:tcW w:w="2213" w:type="dxa"/>
            <w:tcBorders>
              <w:top w:val="single" w:sz="4" w:space="0" w:color="auto"/>
              <w:left w:val="single" w:sz="4" w:space="0" w:color="auto"/>
              <w:bottom w:val="single" w:sz="4" w:space="0" w:color="auto"/>
              <w:right w:val="single" w:sz="4" w:space="0" w:color="auto"/>
            </w:tcBorders>
            <w:hideMark/>
          </w:tcPr>
          <w:p w14:paraId="2103D134" w14:textId="77777777" w:rsidR="00890C57" w:rsidRDefault="00890C57">
            <w:pPr>
              <w:ind w:left="-25" w:right="-66"/>
              <w:jc w:val="center"/>
              <w:rPr>
                <w:rFonts w:ascii="Times New Roman" w:hAnsi="Times New Roman"/>
                <w:sz w:val="18"/>
                <w:szCs w:val="18"/>
              </w:rPr>
            </w:pPr>
            <w:r>
              <w:rPr>
                <w:rFonts w:ascii="Times New Roman" w:hAnsi="Times New Roman"/>
                <w:sz w:val="18"/>
                <w:szCs w:val="18"/>
              </w:rPr>
              <w:t>вихованці вікової групи від 4 до 6 (7) років</w:t>
            </w:r>
          </w:p>
        </w:tc>
      </w:tr>
      <w:tr w:rsidR="00890C57" w14:paraId="0AC85308" w14:textId="77777777" w:rsidTr="00890C57">
        <w:trPr>
          <w:trHeight w:val="427"/>
          <w:jc w:val="center"/>
        </w:trPr>
        <w:tc>
          <w:tcPr>
            <w:tcW w:w="4368" w:type="dxa"/>
            <w:tcBorders>
              <w:top w:val="single" w:sz="4" w:space="0" w:color="auto"/>
              <w:left w:val="single" w:sz="4" w:space="0" w:color="auto"/>
              <w:bottom w:val="single" w:sz="4" w:space="0" w:color="auto"/>
              <w:right w:val="single" w:sz="4" w:space="0" w:color="auto"/>
            </w:tcBorders>
            <w:hideMark/>
          </w:tcPr>
          <w:p w14:paraId="29C8F899" w14:textId="233AE630" w:rsidR="00890C57" w:rsidRDefault="00890C57" w:rsidP="00E303D6">
            <w:pPr>
              <w:ind w:right="-179"/>
              <w:rPr>
                <w:rFonts w:ascii="Times New Roman" w:hAnsi="Times New Roman"/>
                <w:bCs/>
                <w:sz w:val="20"/>
                <w:szCs w:val="20"/>
              </w:rPr>
            </w:pPr>
            <w:r>
              <w:rPr>
                <w:rFonts w:ascii="Times New Roman" w:hAnsi="Times New Roman"/>
                <w:bCs/>
                <w:sz w:val="20"/>
                <w:szCs w:val="20"/>
              </w:rPr>
              <w:t>ЗДО (дитячий садок) «</w:t>
            </w:r>
            <w:proofErr w:type="spellStart"/>
            <w:r w:rsidR="00E303D6">
              <w:rPr>
                <w:rFonts w:ascii="Times New Roman" w:hAnsi="Times New Roman"/>
                <w:bCs/>
                <w:sz w:val="20"/>
                <w:szCs w:val="20"/>
                <w:lang w:val="ru-RU"/>
              </w:rPr>
              <w:t>Зернятко</w:t>
            </w:r>
            <w:proofErr w:type="spellEnd"/>
            <w:r>
              <w:rPr>
                <w:rFonts w:ascii="Times New Roman" w:hAnsi="Times New Roman"/>
                <w:bCs/>
                <w:sz w:val="20"/>
                <w:szCs w:val="20"/>
              </w:rPr>
              <w:t>»</w:t>
            </w:r>
          </w:p>
        </w:tc>
        <w:tc>
          <w:tcPr>
            <w:tcW w:w="2106" w:type="dxa"/>
            <w:tcBorders>
              <w:top w:val="single" w:sz="4" w:space="0" w:color="auto"/>
              <w:left w:val="single" w:sz="4" w:space="0" w:color="auto"/>
              <w:bottom w:val="single" w:sz="4" w:space="0" w:color="auto"/>
              <w:right w:val="single" w:sz="4" w:space="0" w:color="auto"/>
            </w:tcBorders>
            <w:vAlign w:val="center"/>
            <w:hideMark/>
          </w:tcPr>
          <w:p w14:paraId="1DF5BFA7" w14:textId="023F3C5A" w:rsidR="00890C57" w:rsidRPr="00E303D6" w:rsidRDefault="00E303D6">
            <w:pPr>
              <w:ind w:right="-73"/>
              <w:jc w:val="center"/>
              <w:rPr>
                <w:rFonts w:ascii="Times New Roman" w:hAnsi="Times New Roman"/>
                <w:sz w:val="20"/>
                <w:szCs w:val="20"/>
                <w:lang w:val="ru-RU"/>
              </w:rPr>
            </w:pPr>
            <w:r>
              <w:rPr>
                <w:rFonts w:ascii="Times New Roman" w:hAnsi="Times New Roman"/>
                <w:sz w:val="20"/>
                <w:szCs w:val="20"/>
                <w:lang w:val="ru-RU"/>
              </w:rPr>
              <w:t>17</w:t>
            </w:r>
          </w:p>
        </w:tc>
        <w:tc>
          <w:tcPr>
            <w:tcW w:w="2213" w:type="dxa"/>
            <w:tcBorders>
              <w:top w:val="single" w:sz="4" w:space="0" w:color="auto"/>
              <w:left w:val="single" w:sz="4" w:space="0" w:color="auto"/>
              <w:bottom w:val="single" w:sz="4" w:space="0" w:color="auto"/>
              <w:right w:val="single" w:sz="4" w:space="0" w:color="auto"/>
            </w:tcBorders>
            <w:vAlign w:val="center"/>
            <w:hideMark/>
          </w:tcPr>
          <w:p w14:paraId="77C63ABD" w14:textId="4948BC0D" w:rsidR="00890C57" w:rsidRPr="00E303D6" w:rsidRDefault="00E303D6">
            <w:pPr>
              <w:ind w:right="-73"/>
              <w:jc w:val="center"/>
              <w:rPr>
                <w:rFonts w:ascii="Times New Roman" w:hAnsi="Times New Roman"/>
                <w:sz w:val="20"/>
                <w:szCs w:val="20"/>
                <w:lang w:val="ru-RU"/>
              </w:rPr>
            </w:pPr>
            <w:r>
              <w:rPr>
                <w:rFonts w:ascii="Times New Roman" w:hAnsi="Times New Roman"/>
                <w:sz w:val="20"/>
                <w:szCs w:val="20"/>
              </w:rPr>
              <w:t>3</w:t>
            </w:r>
            <w:r>
              <w:rPr>
                <w:rFonts w:ascii="Times New Roman" w:hAnsi="Times New Roman"/>
                <w:sz w:val="20"/>
                <w:szCs w:val="20"/>
                <w:lang w:val="ru-RU"/>
              </w:rPr>
              <w:t>2</w:t>
            </w:r>
          </w:p>
        </w:tc>
      </w:tr>
    </w:tbl>
    <w:p w14:paraId="422622D0" w14:textId="77777777" w:rsidR="00890C57" w:rsidRDefault="00890C57" w:rsidP="00890C57">
      <w:pPr>
        <w:shd w:val="clear" w:color="auto" w:fill="FFFFFF"/>
        <w:spacing w:after="0" w:line="240" w:lineRule="auto"/>
        <w:ind w:firstLine="426"/>
        <w:jc w:val="both"/>
        <w:rPr>
          <w:rFonts w:ascii="Times New Roman" w:hAnsi="Times New Roman"/>
          <w:sz w:val="20"/>
          <w:szCs w:val="20"/>
        </w:rPr>
      </w:pPr>
    </w:p>
    <w:p w14:paraId="1BB78DD3" w14:textId="4B2D3C2A"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 xml:space="preserve">дата  випуску продукту, а також  і дата його кінцевого строку зберігання. Супроводжувальні документи </w:t>
      </w:r>
      <w:r>
        <w:rPr>
          <w:rFonts w:ascii="Times New Roman" w:hAnsi="Times New Roman"/>
          <w:color w:val="000000"/>
          <w:sz w:val="24"/>
          <w:szCs w:val="24"/>
        </w:rPr>
        <w:lastRenderedPageBreak/>
        <w:t>(товарно-транспортна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очікуваних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339DE511" w:rsidR="00C64EA4" w:rsidRDefault="00D731E2" w:rsidP="005C7371">
      <w:pPr>
        <w:pStyle w:val="a3"/>
        <w:shd w:val="clear" w:color="auto" w:fill="FFFFFF"/>
        <w:jc w:val="both"/>
      </w:pPr>
      <w:r w:rsidRPr="005C7371">
        <w:t xml:space="preserve">Очікувана вартість закупівлі – </w:t>
      </w:r>
      <w:r w:rsidR="00E303D6" w:rsidRPr="00E303D6">
        <w:t>803 400,00</w:t>
      </w:r>
      <w:bookmarkStart w:id="0" w:name="_GoBack"/>
      <w:bookmarkEnd w:id="0"/>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403D2"/>
    <w:rsid w:val="00454BB5"/>
    <w:rsid w:val="0045624A"/>
    <w:rsid w:val="0047244B"/>
    <w:rsid w:val="00497598"/>
    <w:rsid w:val="004D4914"/>
    <w:rsid w:val="004F47B0"/>
    <w:rsid w:val="005502F1"/>
    <w:rsid w:val="00552485"/>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0C57"/>
    <w:rsid w:val="00897FD7"/>
    <w:rsid w:val="008C38A4"/>
    <w:rsid w:val="008F54FF"/>
    <w:rsid w:val="00907B4B"/>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E6D90"/>
    <w:rsid w:val="00E250C3"/>
    <w:rsid w:val="00E303D6"/>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855919405">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1169</Words>
  <Characters>6664</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2023-12-29T11:49:00Z</dcterms:created>
  <dcterms:modified xsi:type="dcterms:W3CDTF">2023-12-29T11:54:00Z</dcterms:modified>
</cp:coreProperties>
</file>