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246A874F" w14:textId="4A4D6F20" w:rsidR="00CD344E" w:rsidRDefault="002E1CAA" w:rsidP="00CD344E">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A74774" w:rsidRPr="00A74774">
        <w:rPr>
          <w:rFonts w:ascii="Times New Roman" w:hAnsi="Times New Roman" w:cs="Times New Roman"/>
          <w:b/>
          <w:bCs/>
          <w:bdr w:val="none" w:sz="0" w:space="0" w:color="auto" w:frame="1"/>
          <w:lang w:val="uk-UA" w:eastAsia="uk-UA"/>
        </w:rPr>
        <w:t xml:space="preserve">Послуги з організації гарячого харчування учнів та вихованців </w:t>
      </w:r>
      <w:proofErr w:type="spellStart"/>
      <w:r w:rsidR="009B123F" w:rsidRPr="009B123F">
        <w:rPr>
          <w:rFonts w:ascii="Times New Roman" w:hAnsi="Times New Roman" w:cs="Times New Roman"/>
          <w:b/>
          <w:bCs/>
          <w:bdr w:val="none" w:sz="0" w:space="0" w:color="auto" w:frame="1"/>
          <w:lang w:val="uk-UA" w:eastAsia="uk-UA"/>
        </w:rPr>
        <w:t>Тяпчанського</w:t>
      </w:r>
      <w:proofErr w:type="spellEnd"/>
      <w:r w:rsidR="009B123F" w:rsidRPr="009B123F">
        <w:rPr>
          <w:rFonts w:ascii="Times New Roman" w:hAnsi="Times New Roman" w:cs="Times New Roman"/>
          <w:b/>
          <w:bCs/>
          <w:bdr w:val="none" w:sz="0" w:space="0" w:color="auto" w:frame="1"/>
          <w:lang w:val="uk-UA" w:eastAsia="uk-UA"/>
        </w:rPr>
        <w:t xml:space="preserve"> ліцею ім. О. </w:t>
      </w:r>
      <w:proofErr w:type="spellStart"/>
      <w:r w:rsidR="009B123F" w:rsidRPr="009B123F">
        <w:rPr>
          <w:rFonts w:ascii="Times New Roman" w:hAnsi="Times New Roman" w:cs="Times New Roman"/>
          <w:b/>
          <w:bCs/>
          <w:bdr w:val="none" w:sz="0" w:space="0" w:color="auto" w:frame="1"/>
          <w:lang w:val="uk-UA" w:eastAsia="uk-UA"/>
        </w:rPr>
        <w:t>Дучимінської</w:t>
      </w:r>
      <w:proofErr w:type="spellEnd"/>
    </w:p>
    <w:p w14:paraId="7671B65E" w14:textId="08AB0850" w:rsidR="002E1CAA" w:rsidRDefault="00096405" w:rsidP="00CD344E">
      <w:pPr>
        <w:pStyle w:val="Style6"/>
        <w:widowControl/>
        <w:spacing w:line="240" w:lineRule="auto"/>
        <w:rPr>
          <w:rFonts w:ascii="Times New Roman" w:hAnsi="Times New Roman" w:cs="Times New Roman"/>
          <w:b/>
          <w:bCs/>
          <w:bdr w:val="none" w:sz="0" w:space="0" w:color="auto" w:frame="1"/>
          <w:lang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 xml:space="preserve">55510000-8: Послуги </w:t>
      </w:r>
      <w:proofErr w:type="spellStart"/>
      <w:r w:rsidR="00AA6AFA" w:rsidRPr="00AA6AFA">
        <w:rPr>
          <w:rFonts w:ascii="Times New Roman" w:hAnsi="Times New Roman" w:cs="Times New Roman"/>
          <w:b/>
          <w:lang w:val="uk-UA"/>
        </w:rPr>
        <w:t>їдалень</w:t>
      </w:r>
      <w:proofErr w:type="spellEnd"/>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 xml:space="preserve">з врахуванням постанови Кабінету Міністрів України «Про затвердження особливостей здійснення публічних </w:t>
      </w:r>
      <w:proofErr w:type="spellStart"/>
      <w:r w:rsidR="00CD344E">
        <w:rPr>
          <w:rFonts w:ascii="Times New Roman" w:eastAsia="Times New Roman" w:hAnsi="Times New Roman" w:cs="Times New Roman"/>
          <w:bCs/>
          <w:sz w:val="24"/>
          <w:szCs w:val="24"/>
          <w:bdr w:val="none" w:sz="0" w:space="0" w:color="auto" w:frame="1"/>
          <w:lang w:eastAsia="uk-UA"/>
        </w:rPr>
        <w:t>закупівель</w:t>
      </w:r>
      <w:proofErr w:type="spellEnd"/>
      <w:r w:rsidR="00CD344E">
        <w:rPr>
          <w:rFonts w:ascii="Times New Roman" w:eastAsia="Times New Roman" w:hAnsi="Times New Roman" w:cs="Times New Roman"/>
          <w:bCs/>
          <w:sz w:val="24"/>
          <w:szCs w:val="24"/>
          <w:bdr w:val="none" w:sz="0" w:space="0" w:color="auto" w:frame="1"/>
          <w:lang w:eastAsia="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739D0BEE"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CD344E" w:rsidRPr="00CD344E">
        <w:rPr>
          <w:rFonts w:ascii="Times New Roman" w:hAnsi="Times New Roman" w:cs="Times New Roman"/>
          <w:sz w:val="24"/>
          <w:szCs w:val="24"/>
        </w:rPr>
        <w:t xml:space="preserve">учнів та вихованців </w:t>
      </w:r>
      <w:proofErr w:type="spellStart"/>
      <w:r w:rsidR="009B123F" w:rsidRPr="009B123F">
        <w:rPr>
          <w:rFonts w:ascii="Times New Roman" w:hAnsi="Times New Roman" w:cs="Times New Roman"/>
          <w:sz w:val="24"/>
          <w:szCs w:val="24"/>
        </w:rPr>
        <w:t>Тяпчанського</w:t>
      </w:r>
      <w:proofErr w:type="spellEnd"/>
      <w:r w:rsidR="009B123F" w:rsidRPr="009B123F">
        <w:rPr>
          <w:rFonts w:ascii="Times New Roman" w:hAnsi="Times New Roman" w:cs="Times New Roman"/>
          <w:sz w:val="24"/>
          <w:szCs w:val="24"/>
        </w:rPr>
        <w:t xml:space="preserve"> ліцею ім. О. </w:t>
      </w:r>
      <w:proofErr w:type="spellStart"/>
      <w:r w:rsidR="009B123F" w:rsidRPr="009B123F">
        <w:rPr>
          <w:rFonts w:ascii="Times New Roman" w:hAnsi="Times New Roman" w:cs="Times New Roman"/>
          <w:sz w:val="24"/>
          <w:szCs w:val="24"/>
        </w:rPr>
        <w:t>Дучимінської</w:t>
      </w:r>
      <w:proofErr w:type="spellEnd"/>
      <w:r w:rsidR="009B123F" w:rsidRPr="009B123F">
        <w:rPr>
          <w:rFonts w:ascii="Times New Roman" w:hAnsi="Times New Roman" w:cs="Times New Roman"/>
          <w:sz w:val="24"/>
          <w:szCs w:val="24"/>
        </w:rPr>
        <w:t xml:space="preserve"> </w:t>
      </w:r>
      <w:r w:rsidR="00897FD7" w:rsidRPr="00150DDC">
        <w:rPr>
          <w:rFonts w:ascii="Times New Roman" w:hAnsi="Times New Roman" w:cs="Times New Roman"/>
          <w:sz w:val="24"/>
          <w:szCs w:val="24"/>
        </w:rPr>
        <w:t>Долинської</w:t>
      </w:r>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CD344E">
        <w:rPr>
          <w:rFonts w:ascii="Times New Roman" w:hAnsi="Times New Roman" w:cs="Times New Roman"/>
          <w:sz w:val="24"/>
          <w:szCs w:val="24"/>
        </w:rPr>
        <w:t>4</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38C0710F" w:rsidR="002E1CAA" w:rsidRPr="00F42D9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9B123F" w:rsidRPr="009B123F">
        <w:rPr>
          <w:rFonts w:ascii="Times New Roman" w:eastAsia="Times New Roman" w:hAnsi="Times New Roman" w:cs="Times New Roman"/>
          <w:sz w:val="24"/>
          <w:szCs w:val="24"/>
          <w:bdr w:val="none" w:sz="0" w:space="0" w:color="auto" w:frame="1"/>
          <w:lang w:val="ru-RU" w:eastAsia="uk-UA"/>
        </w:rPr>
        <w:t>UA-2023-12-26-010274-a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39166D14" w14:textId="77777777" w:rsidR="00AA6AFA" w:rsidRDefault="00AA6AFA" w:rsidP="00AA6AFA">
      <w:pPr>
        <w:pStyle w:val="Style6"/>
        <w:widowControl/>
        <w:spacing w:line="240" w:lineRule="auto"/>
        <w:rPr>
          <w:rFonts w:ascii="Times New Roman" w:hAnsi="Times New Roman" w:cs="Times New Roman"/>
          <w:b/>
          <w:lang w:val="uk-UA"/>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0"/>
        <w:gridCol w:w="3543"/>
        <w:gridCol w:w="3401"/>
        <w:gridCol w:w="992"/>
        <w:gridCol w:w="964"/>
      </w:tblGrid>
      <w:tr w:rsidR="007A57A0" w14:paraId="0E6BA5C8" w14:textId="77777777" w:rsidTr="00A74774">
        <w:trPr>
          <w:trHeight w:val="983"/>
          <w:jc w:val="center"/>
        </w:trPr>
        <w:tc>
          <w:tcPr>
            <w:tcW w:w="1390" w:type="dxa"/>
            <w:vMerge w:val="restart"/>
            <w:tcBorders>
              <w:top w:val="single" w:sz="4" w:space="0" w:color="auto"/>
              <w:left w:val="single" w:sz="4" w:space="0" w:color="auto"/>
              <w:bottom w:val="single" w:sz="4" w:space="0" w:color="auto"/>
              <w:right w:val="single" w:sz="4" w:space="0" w:color="auto"/>
            </w:tcBorders>
            <w:vAlign w:val="center"/>
            <w:hideMark/>
          </w:tcPr>
          <w:p w14:paraId="3B171234" w14:textId="77777777" w:rsidR="007A57A0" w:rsidRDefault="007A57A0">
            <w:pPr>
              <w:ind w:right="-73"/>
              <w:jc w:val="center"/>
              <w:rPr>
                <w:rFonts w:ascii="Times New Roman" w:hAnsi="Times New Roman"/>
                <w:sz w:val="20"/>
                <w:szCs w:val="20"/>
              </w:rPr>
            </w:pPr>
            <w:r>
              <w:rPr>
                <w:rFonts w:ascii="Times New Roman" w:hAnsi="Times New Roman"/>
                <w:color w:val="000000"/>
                <w:spacing w:val="-7"/>
                <w:sz w:val="20"/>
                <w:szCs w:val="20"/>
              </w:rPr>
              <w:t>Назва школи</w:t>
            </w:r>
          </w:p>
        </w:tc>
        <w:tc>
          <w:tcPr>
            <w:tcW w:w="3543" w:type="dxa"/>
            <w:vMerge w:val="restart"/>
            <w:tcBorders>
              <w:top w:val="single" w:sz="4" w:space="0" w:color="auto"/>
              <w:left w:val="single" w:sz="4" w:space="0" w:color="auto"/>
              <w:bottom w:val="single" w:sz="4" w:space="0" w:color="auto"/>
              <w:right w:val="single" w:sz="4" w:space="0" w:color="auto"/>
            </w:tcBorders>
            <w:hideMark/>
          </w:tcPr>
          <w:p w14:paraId="7F223612" w14:textId="77777777" w:rsidR="007A57A0" w:rsidRDefault="007A57A0">
            <w:pPr>
              <w:tabs>
                <w:tab w:val="left" w:pos="851"/>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 1-4 класів, з числа дітей сиріт, дітей позбавлених батьківського піклування;</w:t>
            </w:r>
          </w:p>
          <w:p w14:paraId="5E8140EE" w14:textId="77777777" w:rsidR="007A57A0" w:rsidRDefault="007A57A0">
            <w:pPr>
              <w:tabs>
                <w:tab w:val="left" w:pos="142"/>
                <w:tab w:val="left" w:pos="284"/>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сімей, які отримують допомогу відповідно до Закону України «Про державну соціальну допомогу малозабезпеченим сім’ям»;</w:t>
            </w:r>
          </w:p>
          <w:p w14:paraId="1FA4D5FC"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з особливими освітніми потребами, які навчаються у спеціальних та інклюзивних класах (групах), дітей з інвалідністю;</w:t>
            </w:r>
          </w:p>
          <w:p w14:paraId="11B1F120"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із дітей з числа внутрішньо переміщених осіб, дітей, які мають статус дитини, яка постраждала внаслідок воєнних дій і збройних конфліктів ;</w:t>
            </w:r>
          </w:p>
          <w:p w14:paraId="727C2486"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1F9228F6"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1-4 класів, з числа дітей учасників Революції Гідності, які отримали поранення та/або загинули на Майдані;</w:t>
            </w:r>
          </w:p>
          <w:p w14:paraId="453A17A5" w14:textId="77777777" w:rsidR="007A57A0" w:rsidRDefault="007A57A0">
            <w:pPr>
              <w:tabs>
                <w:tab w:val="left" w:pos="993"/>
                <w:tab w:val="left" w:pos="1276"/>
              </w:tabs>
              <w:jc w:val="center"/>
              <w:rPr>
                <w:rFonts w:ascii="Times New Roman" w:hAnsi="Times New Roman"/>
                <w:b/>
                <w:sz w:val="18"/>
                <w:szCs w:val="18"/>
                <w:highlight w:val="yellow"/>
              </w:rPr>
            </w:pPr>
            <w:r>
              <w:rPr>
                <w:rFonts w:ascii="Times New Roman" w:hAnsi="Times New Roman"/>
                <w:color w:val="000000"/>
                <w:sz w:val="18"/>
                <w:szCs w:val="18"/>
                <w:shd w:val="clear" w:color="auto" w:fill="FFFFFF"/>
              </w:rPr>
              <w:t xml:space="preserve">учнів 1-4 класів із дітей з числа осіб, визначених у статтях 10 та 10¹ Закону </w:t>
            </w:r>
            <w:r>
              <w:rPr>
                <w:rFonts w:ascii="Times New Roman" w:hAnsi="Times New Roman"/>
                <w:color w:val="000000"/>
                <w:sz w:val="18"/>
                <w:szCs w:val="18"/>
                <w:shd w:val="clear" w:color="auto" w:fill="FFFFFF"/>
              </w:rPr>
              <w:lastRenderedPageBreak/>
              <w:t>України «Про статус ветеранів війни, гарантії їх соціального захисту»</w:t>
            </w:r>
          </w:p>
        </w:tc>
        <w:tc>
          <w:tcPr>
            <w:tcW w:w="3401" w:type="dxa"/>
            <w:vMerge w:val="restart"/>
            <w:tcBorders>
              <w:top w:val="single" w:sz="4" w:space="0" w:color="auto"/>
              <w:left w:val="single" w:sz="4" w:space="0" w:color="auto"/>
              <w:bottom w:val="single" w:sz="4" w:space="0" w:color="auto"/>
              <w:right w:val="single" w:sz="4" w:space="0" w:color="auto"/>
            </w:tcBorders>
            <w:hideMark/>
          </w:tcPr>
          <w:p w14:paraId="60A9EA35" w14:textId="77777777" w:rsidR="007A57A0" w:rsidRDefault="007A57A0">
            <w:pPr>
              <w:ind w:right="-73"/>
              <w:jc w:val="center"/>
              <w:rPr>
                <w:rFonts w:ascii="Times New Roman" w:hAnsi="Times New Roman"/>
                <w:bCs/>
                <w:sz w:val="18"/>
                <w:szCs w:val="18"/>
              </w:rPr>
            </w:pPr>
            <w:r>
              <w:rPr>
                <w:rFonts w:ascii="Times New Roman" w:hAnsi="Times New Roman"/>
                <w:color w:val="000000"/>
                <w:sz w:val="18"/>
                <w:szCs w:val="18"/>
                <w:shd w:val="clear" w:color="auto" w:fill="FFFFFF"/>
              </w:rPr>
              <w:lastRenderedPageBreak/>
              <w:t>учні 5-11 класів, з числа дітей-сиріт, дітей позбавлених батьківського піклування;</w:t>
            </w:r>
          </w:p>
          <w:p w14:paraId="718AE837" w14:textId="77777777" w:rsidR="007A57A0" w:rsidRDefault="007A57A0">
            <w:pPr>
              <w:ind w:right="-73"/>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сімей, які отримують допомогу відповідно до Закону України «Про державну соціальну допомогу малозабезпеченим сім’ям»;</w:t>
            </w:r>
          </w:p>
          <w:p w14:paraId="78FB7492" w14:textId="77777777" w:rsidR="007A57A0" w:rsidRDefault="007A57A0">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з особливими освітніми потребами, які навчаються у спеціальних та інклюзивних класах (групах), дітей з інвалідністю;</w:t>
            </w:r>
          </w:p>
          <w:p w14:paraId="61B40923" w14:textId="77777777" w:rsidR="007A57A0" w:rsidRDefault="007A57A0">
            <w:pPr>
              <w:tabs>
                <w:tab w:val="left" w:pos="993"/>
              </w:tabs>
              <w:jc w:val="center"/>
              <w:rPr>
                <w:rFonts w:ascii="Times New Roman" w:hAnsi="Times New Roman"/>
                <w:color w:val="000000"/>
                <w:sz w:val="18"/>
                <w:szCs w:val="18"/>
                <w:shd w:val="clear" w:color="auto" w:fill="FFFFFF"/>
              </w:rPr>
            </w:pPr>
            <w:r>
              <w:rPr>
                <w:rFonts w:ascii="Times New Roman" w:hAnsi="Times New Roman"/>
                <w:color w:val="000000"/>
                <w:sz w:val="18"/>
                <w:szCs w:val="18"/>
                <w:shd w:val="clear" w:color="auto" w:fill="FFFFFF"/>
              </w:rPr>
              <w:t>учнів 5-11 класів із дітей з числа внутрішньо переміщених осіб, дітей, які мають статус дитини, яка постраждала внаслідок воєнних дій і збройних конфліктів;</w:t>
            </w:r>
          </w:p>
          <w:p w14:paraId="52CF668B" w14:textId="77777777" w:rsidR="007A57A0" w:rsidRDefault="007A57A0">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діти з числа захисників, які беруть участь у захисті України, з числа дітей учасників бойових дій, які захищали, захищають незалежність, суверенітет та територіальну цілісність України та яким встановлено статус учасника бойових дій, або видано відповідну довідку про безпосередню участь в бойових діях (забезпеченні здійснення заходів національної безпеки і оборони, відсіч і стримування збройної агресії), відповідно до чинного законодавства;</w:t>
            </w:r>
          </w:p>
          <w:p w14:paraId="799DD2BC" w14:textId="77777777" w:rsidR="007A57A0" w:rsidRDefault="007A57A0">
            <w:pPr>
              <w:ind w:right="-73"/>
              <w:jc w:val="center"/>
              <w:rPr>
                <w:rFonts w:ascii="Times New Roman" w:hAnsi="Times New Roman"/>
                <w:bCs/>
                <w:sz w:val="18"/>
                <w:szCs w:val="18"/>
              </w:rPr>
            </w:pPr>
            <w:r>
              <w:rPr>
                <w:rFonts w:ascii="Times New Roman" w:hAnsi="Times New Roman"/>
                <w:color w:val="000000"/>
                <w:sz w:val="18"/>
                <w:szCs w:val="18"/>
                <w:shd w:val="clear" w:color="auto" w:fill="FFFFFF"/>
              </w:rPr>
              <w:t>учнів 5-11 класів, з числа дітей учасників Революції Гідності, які отримали поранення та/або загинули на Майдані</w:t>
            </w:r>
          </w:p>
          <w:p w14:paraId="36AA7A3F" w14:textId="77777777" w:rsidR="007A57A0" w:rsidRDefault="007A57A0">
            <w:pPr>
              <w:ind w:right="-73"/>
              <w:jc w:val="center"/>
              <w:rPr>
                <w:rFonts w:ascii="Times New Roman" w:hAnsi="Times New Roman"/>
                <w:b/>
                <w:sz w:val="18"/>
                <w:szCs w:val="18"/>
                <w:highlight w:val="yellow"/>
              </w:rPr>
            </w:pPr>
            <w:r>
              <w:rPr>
                <w:rFonts w:ascii="Times New Roman" w:hAnsi="Times New Roman"/>
                <w:color w:val="000000"/>
                <w:sz w:val="18"/>
                <w:szCs w:val="18"/>
                <w:shd w:val="clear" w:color="auto" w:fill="FFFFFF"/>
              </w:rPr>
              <w:t xml:space="preserve">учнів 5-11 класів із дітей з числа осіб, визначених у статтях 10 та 10¹ Закону </w:t>
            </w:r>
            <w:r>
              <w:rPr>
                <w:rFonts w:ascii="Times New Roman" w:hAnsi="Times New Roman"/>
                <w:color w:val="000000"/>
                <w:sz w:val="18"/>
                <w:szCs w:val="18"/>
                <w:shd w:val="clear" w:color="auto" w:fill="FFFFFF"/>
              </w:rPr>
              <w:lastRenderedPageBreak/>
              <w:t>України «Про статус ветеранів війни, гарантії їх соціального захисту»</w:t>
            </w:r>
          </w:p>
        </w:tc>
        <w:tc>
          <w:tcPr>
            <w:tcW w:w="1956" w:type="dxa"/>
            <w:gridSpan w:val="2"/>
            <w:tcBorders>
              <w:top w:val="single" w:sz="4" w:space="0" w:color="auto"/>
              <w:left w:val="single" w:sz="4" w:space="0" w:color="auto"/>
              <w:bottom w:val="single" w:sz="4" w:space="0" w:color="auto"/>
              <w:right w:val="single" w:sz="4" w:space="0" w:color="auto"/>
            </w:tcBorders>
            <w:hideMark/>
          </w:tcPr>
          <w:p w14:paraId="452097C8" w14:textId="77777777" w:rsidR="007A57A0" w:rsidRDefault="007A57A0">
            <w:pPr>
              <w:ind w:right="-73"/>
              <w:jc w:val="center"/>
              <w:rPr>
                <w:rFonts w:ascii="Times New Roman" w:hAnsi="Times New Roman"/>
                <w:bCs/>
                <w:sz w:val="20"/>
                <w:szCs w:val="20"/>
                <w:lang w:val="ru-RU"/>
              </w:rPr>
            </w:pPr>
            <w:r>
              <w:rPr>
                <w:rFonts w:ascii="Times New Roman" w:hAnsi="Times New Roman"/>
                <w:bCs/>
                <w:sz w:val="20"/>
                <w:szCs w:val="20"/>
              </w:rPr>
              <w:lastRenderedPageBreak/>
              <w:t>Дошкільне відділення</w:t>
            </w:r>
          </w:p>
        </w:tc>
      </w:tr>
      <w:tr w:rsidR="007A57A0" w14:paraId="62EFD9BD" w14:textId="77777777" w:rsidTr="00A74774">
        <w:trPr>
          <w:trHeight w:val="1277"/>
          <w:jc w:val="center"/>
        </w:trPr>
        <w:tc>
          <w:tcPr>
            <w:tcW w:w="1390" w:type="dxa"/>
            <w:vMerge/>
            <w:tcBorders>
              <w:top w:val="single" w:sz="4" w:space="0" w:color="auto"/>
              <w:left w:val="single" w:sz="4" w:space="0" w:color="auto"/>
              <w:bottom w:val="single" w:sz="4" w:space="0" w:color="auto"/>
              <w:right w:val="single" w:sz="4" w:space="0" w:color="auto"/>
            </w:tcBorders>
            <w:vAlign w:val="center"/>
            <w:hideMark/>
          </w:tcPr>
          <w:p w14:paraId="52C3A021" w14:textId="77777777" w:rsidR="007A57A0" w:rsidRDefault="007A57A0">
            <w:pPr>
              <w:spacing w:after="0" w:line="240" w:lineRule="auto"/>
              <w:rPr>
                <w:rFonts w:ascii="Times New Roman" w:hAnsi="Times New Roman" w:cs="Times New Roman"/>
                <w:sz w:val="20"/>
                <w:szCs w:val="20"/>
                <w:lang w:val="ru-RU"/>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35E2EDDA" w14:textId="77777777" w:rsidR="007A57A0" w:rsidRDefault="007A57A0">
            <w:pPr>
              <w:spacing w:after="0" w:line="240" w:lineRule="auto"/>
              <w:rPr>
                <w:rFonts w:ascii="Times New Roman" w:hAnsi="Times New Roman" w:cs="Times New Roman"/>
                <w:b/>
                <w:sz w:val="18"/>
                <w:szCs w:val="18"/>
                <w:highlight w:val="yellow"/>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14:paraId="5DCB9232" w14:textId="77777777" w:rsidR="007A57A0" w:rsidRDefault="007A57A0">
            <w:pPr>
              <w:spacing w:after="0" w:line="240" w:lineRule="auto"/>
              <w:rPr>
                <w:rFonts w:ascii="Times New Roman" w:hAnsi="Times New Roman" w:cs="Times New Roman"/>
                <w:b/>
                <w:sz w:val="18"/>
                <w:szCs w:val="18"/>
                <w:highlight w:val="yellow"/>
              </w:rPr>
            </w:pPr>
          </w:p>
        </w:tc>
        <w:tc>
          <w:tcPr>
            <w:tcW w:w="992" w:type="dxa"/>
            <w:tcBorders>
              <w:top w:val="single" w:sz="4" w:space="0" w:color="auto"/>
              <w:left w:val="single" w:sz="4" w:space="0" w:color="auto"/>
              <w:bottom w:val="single" w:sz="4" w:space="0" w:color="auto"/>
              <w:right w:val="single" w:sz="4" w:space="0" w:color="auto"/>
            </w:tcBorders>
            <w:hideMark/>
          </w:tcPr>
          <w:p w14:paraId="65B4655F" w14:textId="77777777" w:rsidR="007A57A0" w:rsidRDefault="007A57A0">
            <w:pPr>
              <w:ind w:left="-108" w:right="-66" w:firstLine="83"/>
              <w:jc w:val="center"/>
              <w:rPr>
                <w:rFonts w:ascii="Times New Roman" w:hAnsi="Times New Roman"/>
                <w:sz w:val="18"/>
                <w:szCs w:val="18"/>
              </w:rPr>
            </w:pPr>
            <w:r>
              <w:rPr>
                <w:rFonts w:ascii="Times New Roman" w:hAnsi="Times New Roman"/>
                <w:sz w:val="18"/>
                <w:szCs w:val="18"/>
              </w:rPr>
              <w:t>вихованці вікової групи від 1 до 4 років</w:t>
            </w:r>
          </w:p>
        </w:tc>
        <w:tc>
          <w:tcPr>
            <w:tcW w:w="964" w:type="dxa"/>
            <w:tcBorders>
              <w:top w:val="single" w:sz="4" w:space="0" w:color="auto"/>
              <w:left w:val="single" w:sz="4" w:space="0" w:color="auto"/>
              <w:bottom w:val="single" w:sz="4" w:space="0" w:color="auto"/>
              <w:right w:val="single" w:sz="4" w:space="0" w:color="auto"/>
            </w:tcBorders>
            <w:hideMark/>
          </w:tcPr>
          <w:p w14:paraId="54A1EC37" w14:textId="77777777" w:rsidR="007A57A0" w:rsidRDefault="007A57A0">
            <w:pPr>
              <w:ind w:left="-25" w:right="-66"/>
              <w:jc w:val="center"/>
              <w:rPr>
                <w:rFonts w:ascii="Times New Roman" w:hAnsi="Times New Roman"/>
                <w:sz w:val="18"/>
                <w:szCs w:val="18"/>
              </w:rPr>
            </w:pPr>
            <w:r>
              <w:rPr>
                <w:rFonts w:ascii="Times New Roman" w:hAnsi="Times New Roman"/>
                <w:sz w:val="18"/>
                <w:szCs w:val="18"/>
              </w:rPr>
              <w:t>вихованці вікової групи від 4 до 6 (7) років</w:t>
            </w:r>
          </w:p>
        </w:tc>
      </w:tr>
      <w:tr w:rsidR="003C2BF9" w14:paraId="10DAA3F6" w14:textId="77777777" w:rsidTr="00A74774">
        <w:trPr>
          <w:trHeight w:val="427"/>
          <w:jc w:val="center"/>
        </w:trPr>
        <w:tc>
          <w:tcPr>
            <w:tcW w:w="1390" w:type="dxa"/>
            <w:tcBorders>
              <w:top w:val="single" w:sz="4" w:space="0" w:color="auto"/>
              <w:left w:val="single" w:sz="4" w:space="0" w:color="auto"/>
              <w:bottom w:val="single" w:sz="4" w:space="0" w:color="auto"/>
              <w:right w:val="single" w:sz="4" w:space="0" w:color="auto"/>
            </w:tcBorders>
            <w:hideMark/>
          </w:tcPr>
          <w:p w14:paraId="268106BF" w14:textId="27D6259E" w:rsidR="003C2BF9" w:rsidRDefault="003C2BF9" w:rsidP="003C2BF9">
            <w:pPr>
              <w:rPr>
                <w:rFonts w:ascii="Times New Roman" w:hAnsi="Times New Roman"/>
                <w:bCs/>
                <w:sz w:val="20"/>
                <w:szCs w:val="20"/>
                <w:lang w:val="ru-RU"/>
              </w:rPr>
            </w:pPr>
            <w:proofErr w:type="spellStart"/>
            <w:r>
              <w:rPr>
                <w:rFonts w:ascii="Times New Roman" w:hAnsi="Times New Roman"/>
                <w:bCs/>
                <w:sz w:val="20"/>
                <w:szCs w:val="20"/>
              </w:rPr>
              <w:t>Тяпчанський</w:t>
            </w:r>
            <w:proofErr w:type="spellEnd"/>
            <w:r>
              <w:rPr>
                <w:rFonts w:ascii="Times New Roman" w:hAnsi="Times New Roman"/>
                <w:bCs/>
                <w:sz w:val="20"/>
                <w:szCs w:val="20"/>
              </w:rPr>
              <w:t xml:space="preserve"> ліцей ім. О. </w:t>
            </w:r>
            <w:proofErr w:type="spellStart"/>
            <w:r>
              <w:rPr>
                <w:rFonts w:ascii="Times New Roman" w:hAnsi="Times New Roman"/>
                <w:bCs/>
                <w:sz w:val="20"/>
                <w:szCs w:val="20"/>
              </w:rPr>
              <w:t>Дучимінської</w:t>
            </w:r>
            <w:proofErr w:type="spellEnd"/>
          </w:p>
        </w:tc>
        <w:tc>
          <w:tcPr>
            <w:tcW w:w="3543" w:type="dxa"/>
            <w:tcBorders>
              <w:top w:val="single" w:sz="4" w:space="0" w:color="auto"/>
              <w:left w:val="single" w:sz="4" w:space="0" w:color="auto"/>
              <w:bottom w:val="single" w:sz="4" w:space="0" w:color="auto"/>
              <w:right w:val="single" w:sz="4" w:space="0" w:color="auto"/>
            </w:tcBorders>
            <w:vAlign w:val="center"/>
            <w:hideMark/>
          </w:tcPr>
          <w:p w14:paraId="3EEC941F" w14:textId="5DBF5A81" w:rsidR="003C2BF9" w:rsidRDefault="003C2BF9" w:rsidP="003C2BF9">
            <w:pPr>
              <w:ind w:right="-73"/>
              <w:jc w:val="center"/>
              <w:rPr>
                <w:rFonts w:ascii="Times New Roman" w:hAnsi="Times New Roman"/>
                <w:sz w:val="20"/>
                <w:szCs w:val="20"/>
                <w:lang w:val="en-US"/>
              </w:rPr>
            </w:pPr>
            <w:r>
              <w:rPr>
                <w:rFonts w:ascii="Times New Roman" w:hAnsi="Times New Roman"/>
                <w:sz w:val="20"/>
                <w:szCs w:val="20"/>
              </w:rPr>
              <w:t>7</w:t>
            </w:r>
          </w:p>
        </w:tc>
        <w:tc>
          <w:tcPr>
            <w:tcW w:w="3401" w:type="dxa"/>
            <w:tcBorders>
              <w:top w:val="single" w:sz="4" w:space="0" w:color="auto"/>
              <w:left w:val="single" w:sz="4" w:space="0" w:color="auto"/>
              <w:bottom w:val="single" w:sz="4" w:space="0" w:color="auto"/>
              <w:right w:val="single" w:sz="4" w:space="0" w:color="auto"/>
            </w:tcBorders>
            <w:vAlign w:val="center"/>
            <w:hideMark/>
          </w:tcPr>
          <w:p w14:paraId="14FB2EB9" w14:textId="465308EC" w:rsidR="003C2BF9" w:rsidRDefault="003C2BF9" w:rsidP="003C2BF9">
            <w:pPr>
              <w:ind w:right="-73"/>
              <w:jc w:val="center"/>
              <w:rPr>
                <w:rFonts w:ascii="Times New Roman" w:hAnsi="Times New Roman"/>
                <w:sz w:val="20"/>
                <w:szCs w:val="20"/>
                <w:lang w:val="en-US"/>
              </w:rPr>
            </w:pPr>
            <w:r>
              <w:rPr>
                <w:rFonts w:ascii="Times New Roman" w:hAnsi="Times New Roman"/>
                <w:sz w:val="20"/>
                <w:szCs w:val="20"/>
              </w:rPr>
              <w:t>9</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3C314C" w14:textId="1DC7F4A6" w:rsidR="003C2BF9" w:rsidRDefault="003C2BF9" w:rsidP="003C2BF9">
            <w:pPr>
              <w:ind w:right="-73"/>
              <w:jc w:val="center"/>
              <w:rPr>
                <w:rFonts w:ascii="Times New Roman" w:hAnsi="Times New Roman"/>
                <w:sz w:val="20"/>
                <w:szCs w:val="20"/>
              </w:rPr>
            </w:pPr>
            <w:r>
              <w:rPr>
                <w:rFonts w:ascii="Times New Roman" w:hAnsi="Times New Roman"/>
                <w:sz w:val="20"/>
                <w:szCs w:val="20"/>
              </w:rPr>
              <w:t>8</w:t>
            </w:r>
          </w:p>
        </w:tc>
        <w:tc>
          <w:tcPr>
            <w:tcW w:w="964" w:type="dxa"/>
            <w:tcBorders>
              <w:top w:val="single" w:sz="4" w:space="0" w:color="auto"/>
              <w:left w:val="single" w:sz="4" w:space="0" w:color="auto"/>
              <w:bottom w:val="single" w:sz="4" w:space="0" w:color="auto"/>
              <w:right w:val="single" w:sz="4" w:space="0" w:color="auto"/>
            </w:tcBorders>
            <w:vAlign w:val="center"/>
            <w:hideMark/>
          </w:tcPr>
          <w:p w14:paraId="373BEC07" w14:textId="1B102AF3" w:rsidR="003C2BF9" w:rsidRDefault="003C2BF9" w:rsidP="003C2BF9">
            <w:pPr>
              <w:ind w:right="-73"/>
              <w:jc w:val="center"/>
              <w:rPr>
                <w:rFonts w:ascii="Times New Roman" w:hAnsi="Times New Roman"/>
                <w:sz w:val="20"/>
                <w:szCs w:val="20"/>
              </w:rPr>
            </w:pPr>
            <w:r>
              <w:rPr>
                <w:rFonts w:ascii="Times New Roman" w:hAnsi="Times New Roman"/>
                <w:sz w:val="20"/>
                <w:szCs w:val="20"/>
              </w:rPr>
              <w:t>32</w:t>
            </w:r>
          </w:p>
        </w:tc>
      </w:tr>
    </w:tbl>
    <w:p w14:paraId="2ED0CF90" w14:textId="77777777" w:rsidR="007A57A0" w:rsidRDefault="007A57A0" w:rsidP="007A57A0">
      <w:pPr>
        <w:shd w:val="clear" w:color="auto" w:fill="FFFFFF"/>
        <w:spacing w:after="0" w:line="240" w:lineRule="auto"/>
        <w:ind w:firstLine="426"/>
        <w:jc w:val="both"/>
        <w:rPr>
          <w:rFonts w:ascii="Times New Roman" w:hAnsi="Times New Roman"/>
          <w:sz w:val="20"/>
          <w:szCs w:val="20"/>
        </w:rPr>
      </w:pPr>
    </w:p>
    <w:p w14:paraId="1BB78DD3" w14:textId="77777777" w:rsidR="007A57A0" w:rsidRDefault="007A57A0" w:rsidP="007A57A0">
      <w:pPr>
        <w:shd w:val="clear" w:color="auto" w:fill="FFFFFF"/>
        <w:spacing w:after="0" w:line="240" w:lineRule="auto"/>
        <w:ind w:firstLine="426"/>
        <w:jc w:val="both"/>
        <w:rPr>
          <w:rFonts w:ascii="Times New Roman" w:hAnsi="Times New Roman"/>
          <w:b/>
          <w:bCs/>
          <w:color w:val="000000"/>
          <w:sz w:val="24"/>
          <w:szCs w:val="24"/>
          <w:lang w:val="ru-RU"/>
        </w:rPr>
      </w:pPr>
      <w:r>
        <w:rPr>
          <w:rFonts w:ascii="Times New Roman" w:hAnsi="Times New Roman"/>
          <w:b/>
          <w:bCs/>
          <w:color w:val="000000"/>
          <w:sz w:val="24"/>
          <w:szCs w:val="24"/>
        </w:rPr>
        <w:t>Вимоги до якісних характеристик:</w:t>
      </w:r>
    </w:p>
    <w:p w14:paraId="6BC8883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w:t>
      </w:r>
      <w:proofErr w:type="spellStart"/>
      <w:r>
        <w:rPr>
          <w:rFonts w:ascii="Times New Roman" w:hAnsi="Times New Roman"/>
          <w:sz w:val="24"/>
          <w:szCs w:val="24"/>
        </w:rPr>
        <w:t>віково</w:t>
      </w:r>
      <w:proofErr w:type="spellEnd"/>
      <w:r>
        <w:rPr>
          <w:rFonts w:ascii="Times New Roman" w:hAnsi="Times New Roman"/>
          <w:sz w:val="24"/>
          <w:szCs w:val="24"/>
        </w:rPr>
        <w:t xml:space="preserve">-статевих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w:t>
      </w:r>
    </w:p>
    <w:p w14:paraId="071E27B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AE6052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555F633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476DC62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59571D68" w14:textId="77777777" w:rsidR="007A57A0" w:rsidRDefault="007A57A0" w:rsidP="007A57A0">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7E0FFFCF"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46D5B105"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0EF4DA5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626A21E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1CA3D8B7"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54BD9BA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09083D58"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інвентаря, спеціального та санітарного одягу, миючими і дезінфікуючими засобами, здійснювати технічне обслуговування та поточний </w:t>
      </w:r>
      <w:r>
        <w:rPr>
          <w:rFonts w:ascii="Times New Roman" w:hAnsi="Times New Roman"/>
          <w:sz w:val="24"/>
          <w:szCs w:val="24"/>
        </w:rPr>
        <w:lastRenderedPageBreak/>
        <w:t>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1C2601E2"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7922F551"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 xml:space="preserve">Персонал Учасника, який займається постачанням продуктів, приготуванням та </w:t>
      </w:r>
      <w:proofErr w:type="spellStart"/>
      <w:r>
        <w:rPr>
          <w:rFonts w:ascii="Times New Roman" w:hAnsi="Times New Roman"/>
          <w:color w:val="000000"/>
          <w:sz w:val="24"/>
          <w:szCs w:val="24"/>
        </w:rPr>
        <w:t>роздачею</w:t>
      </w:r>
      <w:proofErr w:type="spellEnd"/>
      <w:r>
        <w:rPr>
          <w:rFonts w:ascii="Times New Roman" w:hAnsi="Times New Roman"/>
          <w:color w:val="000000"/>
          <w:sz w:val="24"/>
          <w:szCs w:val="24"/>
        </w:rPr>
        <w:t xml:space="preserve"> їжі, повинен мати санітарний допуск до роботи.</w:t>
      </w:r>
    </w:p>
    <w:p w14:paraId="4D2A29C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5925D3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3B0FB6BE"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64E258BC"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5A73099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0A44229A"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p>
    <w:p w14:paraId="72F0369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46C795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 xml:space="preserve">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w:t>
      </w:r>
      <w:proofErr w:type="spellStart"/>
      <w:r>
        <w:rPr>
          <w:rFonts w:ascii="Times New Roman" w:hAnsi="Times New Roman"/>
          <w:sz w:val="24"/>
          <w:szCs w:val="24"/>
          <w:highlight w:val="white"/>
        </w:rPr>
        <w:t>хвороб</w:t>
      </w:r>
      <w:proofErr w:type="spellEnd"/>
      <w:r>
        <w:rPr>
          <w:rFonts w:ascii="Times New Roman" w:hAnsi="Times New Roman"/>
          <w:sz w:val="24"/>
          <w:szCs w:val="24"/>
          <w:highlight w:val="white"/>
        </w:rPr>
        <w:t>»</w:t>
      </w:r>
      <w:r>
        <w:rPr>
          <w:rFonts w:ascii="Times New Roman" w:hAnsi="Times New Roman"/>
          <w:sz w:val="24"/>
          <w:szCs w:val="24"/>
        </w:rPr>
        <w:t>.</w:t>
      </w:r>
    </w:p>
    <w:p w14:paraId="507695CD"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705DCBF6"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17A54000" w14:textId="4D2F9A10" w:rsidR="007A57A0" w:rsidRDefault="00E250C3" w:rsidP="007A57A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1C0BCE">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007A57A0">
        <w:rPr>
          <w:rFonts w:ascii="Times New Roman" w:eastAsia="Times New Roman" w:hAnsi="Times New Roman" w:cs="Times New Roman"/>
          <w:sz w:val="24"/>
          <w:szCs w:val="24"/>
          <w:bdr w:val="none" w:sz="0" w:space="0" w:color="auto" w:frame="1"/>
          <w:lang w:eastAsia="uk-UA"/>
        </w:rPr>
        <w:t xml:space="preserve"> визначений відповідно до </w:t>
      </w:r>
      <w:proofErr w:type="spellStart"/>
      <w:r w:rsidR="007A57A0">
        <w:rPr>
          <w:rFonts w:ascii="Times New Roman" w:eastAsia="Times New Roman" w:hAnsi="Times New Roman" w:cs="Times New Roman"/>
          <w:sz w:val="24"/>
          <w:szCs w:val="24"/>
          <w:bdr w:val="none" w:sz="0" w:space="0" w:color="auto" w:frame="1"/>
          <w:lang w:val="ru-RU" w:eastAsia="uk-UA"/>
        </w:rPr>
        <w:t>очікуваних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бюджетних</w:t>
      </w:r>
      <w:proofErr w:type="spellEnd"/>
      <w:r w:rsidR="007A57A0">
        <w:rPr>
          <w:rFonts w:ascii="Times New Roman" w:eastAsia="Times New Roman" w:hAnsi="Times New Roman" w:cs="Times New Roman"/>
          <w:sz w:val="24"/>
          <w:szCs w:val="24"/>
          <w:bdr w:val="none" w:sz="0" w:space="0" w:color="auto" w:frame="1"/>
          <w:lang w:val="ru-RU" w:eastAsia="uk-UA"/>
        </w:rPr>
        <w:t xml:space="preserve"> </w:t>
      </w:r>
      <w:proofErr w:type="spellStart"/>
      <w:r w:rsidR="007A57A0">
        <w:rPr>
          <w:rFonts w:ascii="Times New Roman" w:eastAsia="Times New Roman" w:hAnsi="Times New Roman" w:cs="Times New Roman"/>
          <w:sz w:val="24"/>
          <w:szCs w:val="24"/>
          <w:bdr w:val="none" w:sz="0" w:space="0" w:color="auto" w:frame="1"/>
          <w:lang w:val="ru-RU" w:eastAsia="uk-UA"/>
        </w:rPr>
        <w:t>призначень</w:t>
      </w:r>
      <w:proofErr w:type="spellEnd"/>
      <w:r w:rsidR="007A57A0">
        <w:rPr>
          <w:rFonts w:ascii="Times New Roman" w:eastAsia="Times New Roman" w:hAnsi="Times New Roman" w:cs="Times New Roman"/>
          <w:sz w:val="24"/>
          <w:szCs w:val="24"/>
          <w:bdr w:val="none" w:sz="0" w:space="0" w:color="auto" w:frame="1"/>
          <w:lang w:eastAsia="uk-UA"/>
        </w:rPr>
        <w:t xml:space="preserve"> на 202</w:t>
      </w:r>
      <w:r w:rsidR="007A57A0">
        <w:rPr>
          <w:rFonts w:ascii="Times New Roman" w:eastAsia="Times New Roman" w:hAnsi="Times New Roman" w:cs="Times New Roman"/>
          <w:sz w:val="24"/>
          <w:szCs w:val="24"/>
          <w:bdr w:val="none" w:sz="0" w:space="0" w:color="auto" w:frame="1"/>
          <w:lang w:val="ru-RU" w:eastAsia="uk-UA"/>
        </w:rPr>
        <w:t>4</w:t>
      </w:r>
      <w:r w:rsidR="007A57A0">
        <w:rPr>
          <w:rFonts w:ascii="Times New Roman" w:eastAsia="Times New Roman" w:hAnsi="Times New Roman" w:cs="Times New Roman"/>
          <w:sz w:val="24"/>
          <w:szCs w:val="24"/>
          <w:bdr w:val="none" w:sz="0" w:space="0" w:color="auto" w:frame="1"/>
          <w:lang w:eastAsia="uk-UA"/>
        </w:rPr>
        <w:t xml:space="preserve"> рік за КЕКВ 2230</w:t>
      </w:r>
      <w:r w:rsidR="007A57A0" w:rsidRPr="007A57A0">
        <w:rPr>
          <w:rFonts w:ascii="Times New Roman" w:eastAsia="Times New Roman" w:hAnsi="Times New Roman" w:cs="Times New Roman"/>
          <w:sz w:val="24"/>
          <w:szCs w:val="24"/>
          <w:bdr w:val="none" w:sz="0" w:space="0" w:color="auto" w:frame="1"/>
          <w:lang w:eastAsia="uk-UA"/>
        </w:rPr>
        <w:t xml:space="preserve"> </w:t>
      </w:r>
      <w:r w:rsidR="007A57A0">
        <w:rPr>
          <w:rFonts w:ascii="Times New Roman" w:eastAsia="Times New Roman" w:hAnsi="Times New Roman" w:cs="Times New Roman"/>
          <w:sz w:val="24"/>
          <w:szCs w:val="24"/>
          <w:bdr w:val="none" w:sz="0" w:space="0" w:color="auto" w:frame="1"/>
          <w:lang w:eastAsia="uk-UA"/>
        </w:rPr>
        <w:t>з урахуванням потреби</w:t>
      </w:r>
      <w:r w:rsidR="007A57A0" w:rsidRPr="00F20DD2">
        <w:rPr>
          <w:rFonts w:ascii="Times New Roman" w:eastAsia="Times New Roman" w:hAnsi="Times New Roman" w:cs="Times New Roman"/>
          <w:sz w:val="24"/>
          <w:szCs w:val="24"/>
          <w:bdr w:val="none" w:sz="0" w:space="0" w:color="auto" w:frame="1"/>
          <w:lang w:eastAsia="uk-UA"/>
        </w:rPr>
        <w:t xml:space="preserve"> замовника у відповідних послугах</w:t>
      </w:r>
      <w:r w:rsidR="007A57A0">
        <w:rPr>
          <w:rFonts w:ascii="Times New Roman" w:eastAsia="Times New Roman" w:hAnsi="Times New Roman" w:cs="Times New Roman"/>
          <w:sz w:val="24"/>
          <w:szCs w:val="24"/>
          <w:bdr w:val="none" w:sz="0" w:space="0" w:color="auto" w:frame="1"/>
          <w:lang w:eastAsia="uk-UA"/>
        </w:rPr>
        <w:t>.</w:t>
      </w:r>
    </w:p>
    <w:p w14:paraId="798EFD3F" w14:textId="77777777" w:rsidR="007A57A0" w:rsidRPr="00AA6AFA"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C3286B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r w:rsidRPr="00CE5D6E">
        <w:rPr>
          <w:rFonts w:ascii="Times New Roman" w:hAnsi="Times New Roman" w:cs="Times New Roman"/>
          <w:sz w:val="24"/>
          <w:szCs w:val="24"/>
        </w:rPr>
        <w:t xml:space="preserve">Долинської міської ради від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1</w:t>
      </w:r>
      <w:r w:rsidRPr="00CE5D6E">
        <w:rPr>
          <w:rFonts w:ascii="Times New Roman" w:hAnsi="Times New Roman" w:cs="Times New Roman"/>
          <w:sz w:val="24"/>
          <w:szCs w:val="24"/>
        </w:rPr>
        <w:t>.</w:t>
      </w:r>
      <w:r w:rsidR="00ED1D41" w:rsidRPr="00CE5D6E">
        <w:rPr>
          <w:rFonts w:ascii="Times New Roman" w:hAnsi="Times New Roman" w:cs="Times New Roman"/>
          <w:sz w:val="24"/>
          <w:szCs w:val="24"/>
        </w:rPr>
        <w:t>12</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52</w:t>
      </w:r>
      <w:r w:rsidR="00AA6AFA" w:rsidRPr="00CE5D6E">
        <w:rPr>
          <w:rFonts w:ascii="Times New Roman" w:hAnsi="Times New Roman" w:cs="Times New Roman"/>
          <w:sz w:val="24"/>
          <w:szCs w:val="24"/>
        </w:rPr>
        <w:t>8</w:t>
      </w:r>
      <w:r w:rsidRPr="00CE5D6E">
        <w:rPr>
          <w:rFonts w:ascii="Times New Roman" w:hAnsi="Times New Roman" w:cs="Times New Roman"/>
          <w:sz w:val="24"/>
          <w:szCs w:val="24"/>
        </w:rPr>
        <w:t>-</w:t>
      </w:r>
      <w:r w:rsidR="00AA6AFA" w:rsidRPr="00CE5D6E">
        <w:rPr>
          <w:rFonts w:ascii="Times New Roman" w:hAnsi="Times New Roman" w:cs="Times New Roman"/>
          <w:sz w:val="24"/>
          <w:szCs w:val="24"/>
        </w:rPr>
        <w:t>3</w:t>
      </w:r>
      <w:r w:rsidR="00ED1D41" w:rsidRPr="00CE5D6E">
        <w:rPr>
          <w:rFonts w:ascii="Times New Roman" w:hAnsi="Times New Roman" w:cs="Times New Roman"/>
          <w:sz w:val="24"/>
          <w:szCs w:val="24"/>
        </w:rPr>
        <w:t>9</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w:t>
      </w:r>
      <w:r w:rsidR="00815864" w:rsidRPr="00CE5D6E">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Долинської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p>
    <w:p w14:paraId="2240AB12" w14:textId="203BCAB2" w:rsidR="00C64EA4" w:rsidRDefault="00D731E2" w:rsidP="005C7371">
      <w:pPr>
        <w:pStyle w:val="a3"/>
        <w:shd w:val="clear" w:color="auto" w:fill="FFFFFF"/>
        <w:jc w:val="both"/>
      </w:pPr>
      <w:r w:rsidRPr="005C7371">
        <w:t xml:space="preserve">Очікувана вартість закупівлі – </w:t>
      </w:r>
      <w:r w:rsidR="003C2BF9" w:rsidRPr="003C2BF9">
        <w:t>820 275</w:t>
      </w:r>
      <w:r w:rsidR="00087C67" w:rsidRPr="00087C67">
        <w:rPr>
          <w:lang w:val="ru-RU"/>
        </w:rPr>
        <w:t xml:space="preserve">,00 </w:t>
      </w:r>
      <w:r w:rsidRPr="005C7371">
        <w:t xml:space="preserve">грн. </w:t>
      </w:r>
      <w:r w:rsidR="005C7371">
        <w:rPr>
          <w:lang w:val="ru-RU"/>
        </w:rPr>
        <w:t>бе</w:t>
      </w:r>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958414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CAA"/>
    <w:rsid w:val="00000B5F"/>
    <w:rsid w:val="000078EC"/>
    <w:rsid w:val="00014FC7"/>
    <w:rsid w:val="000369FF"/>
    <w:rsid w:val="00065E3F"/>
    <w:rsid w:val="00087C67"/>
    <w:rsid w:val="00096405"/>
    <w:rsid w:val="000B1ADE"/>
    <w:rsid w:val="000C7C3F"/>
    <w:rsid w:val="000D0ABB"/>
    <w:rsid w:val="000E53EC"/>
    <w:rsid w:val="00150DDC"/>
    <w:rsid w:val="001A0AFB"/>
    <w:rsid w:val="001A2D16"/>
    <w:rsid w:val="001C0BCE"/>
    <w:rsid w:val="001D6601"/>
    <w:rsid w:val="001E234B"/>
    <w:rsid w:val="001E73E4"/>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54BB5"/>
    <w:rsid w:val="0045624A"/>
    <w:rsid w:val="0047244B"/>
    <w:rsid w:val="00497598"/>
    <w:rsid w:val="004D4914"/>
    <w:rsid w:val="004F47B0"/>
    <w:rsid w:val="005502F1"/>
    <w:rsid w:val="00552485"/>
    <w:rsid w:val="005C7371"/>
    <w:rsid w:val="005F6DBA"/>
    <w:rsid w:val="00670B95"/>
    <w:rsid w:val="00693C28"/>
    <w:rsid w:val="0069653E"/>
    <w:rsid w:val="006E33E9"/>
    <w:rsid w:val="00702DD8"/>
    <w:rsid w:val="00721013"/>
    <w:rsid w:val="007A57A0"/>
    <w:rsid w:val="007C46D7"/>
    <w:rsid w:val="007D0B4C"/>
    <w:rsid w:val="007D491E"/>
    <w:rsid w:val="007E1F42"/>
    <w:rsid w:val="007E532C"/>
    <w:rsid w:val="007F19C7"/>
    <w:rsid w:val="00815864"/>
    <w:rsid w:val="008328CA"/>
    <w:rsid w:val="00897FD7"/>
    <w:rsid w:val="008C38A4"/>
    <w:rsid w:val="008F54FF"/>
    <w:rsid w:val="00924C11"/>
    <w:rsid w:val="0097668A"/>
    <w:rsid w:val="009B123F"/>
    <w:rsid w:val="009B37AB"/>
    <w:rsid w:val="009C06FB"/>
    <w:rsid w:val="009E47C3"/>
    <w:rsid w:val="00A22D0C"/>
    <w:rsid w:val="00A43FDE"/>
    <w:rsid w:val="00A74774"/>
    <w:rsid w:val="00AA3F58"/>
    <w:rsid w:val="00AA6AFA"/>
    <w:rsid w:val="00AF4A1F"/>
    <w:rsid w:val="00B26F01"/>
    <w:rsid w:val="00B666AC"/>
    <w:rsid w:val="00BD65BC"/>
    <w:rsid w:val="00BE69E4"/>
    <w:rsid w:val="00C23D9B"/>
    <w:rsid w:val="00C64EA4"/>
    <w:rsid w:val="00CD344E"/>
    <w:rsid w:val="00CE5D6E"/>
    <w:rsid w:val="00D06F60"/>
    <w:rsid w:val="00D52EDD"/>
    <w:rsid w:val="00D731E2"/>
    <w:rsid w:val="00DE6D90"/>
    <w:rsid w:val="00E250C3"/>
    <w:rsid w:val="00E35377"/>
    <w:rsid w:val="00E44D82"/>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15:docId w15:val="{AF16D63A-DB81-4009-80D6-77EF0DA5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6611</Words>
  <Characters>3769</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Христина Федорів</cp:lastModifiedBy>
  <cp:revision>3</cp:revision>
  <cp:lastPrinted>2021-11-29T13:01:00Z</cp:lastPrinted>
  <dcterms:created xsi:type="dcterms:W3CDTF">2023-12-28T12:21:00Z</dcterms:created>
  <dcterms:modified xsi:type="dcterms:W3CDTF">2023-12-28T12:23:00Z</dcterms:modified>
</cp:coreProperties>
</file>