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E37CD8" w:rsidRDefault="002E1CAA" w:rsidP="00E37CD8">
      <w:pPr>
        <w:pStyle w:val="2"/>
        <w:rPr>
          <w:rFonts w:eastAsia="Times New Roman"/>
          <w:color w:val="000000" w:themeColor="text1"/>
          <w:bdr w:val="none" w:sz="0" w:space="0" w:color="auto" w:frame="1"/>
          <w:lang w:eastAsia="uk-UA"/>
        </w:rPr>
      </w:pPr>
      <w:proofErr w:type="spellStart"/>
      <w:r w:rsidRPr="00E37CD8">
        <w:rPr>
          <w:rFonts w:eastAsia="Times New Roman"/>
          <w:color w:val="000000" w:themeColor="text1"/>
          <w:bdr w:val="none" w:sz="0" w:space="0" w:color="auto" w:frame="1"/>
          <w:lang w:eastAsia="uk-UA"/>
        </w:rPr>
        <w:t>Обгрунтування</w:t>
      </w:r>
      <w:proofErr w:type="spellEnd"/>
      <w:r w:rsidRPr="00E37CD8">
        <w:rPr>
          <w:rFonts w:eastAsia="Times New Roman"/>
          <w:color w:val="000000" w:themeColor="text1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9A11AD" w:rsidRPr="001F0190" w:rsidRDefault="002E1CAA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proofErr w:type="spellStart"/>
      <w:r w:rsidR="003C4681" w:rsidRPr="003C4681">
        <w:rPr>
          <w:rFonts w:ascii="Times New Roman" w:hAnsi="Times New Roman"/>
          <w:b/>
          <w:sz w:val="24"/>
          <w:szCs w:val="24"/>
          <w:lang w:val="ru-RU" w:eastAsia="ru-RU"/>
        </w:rPr>
        <w:t>Овочі</w:t>
      </w:r>
      <w:proofErr w:type="spellEnd"/>
      <w:r w:rsidR="003C4681" w:rsidRPr="003C4681">
        <w:rPr>
          <w:rFonts w:ascii="Times New Roman" w:hAnsi="Times New Roman"/>
          <w:b/>
          <w:sz w:val="24"/>
          <w:szCs w:val="24"/>
          <w:lang w:val="ru-RU" w:eastAsia="ru-RU"/>
        </w:rPr>
        <w:t xml:space="preserve">, </w:t>
      </w:r>
      <w:proofErr w:type="spellStart"/>
      <w:r w:rsidR="003C4681" w:rsidRPr="003C4681">
        <w:rPr>
          <w:rFonts w:ascii="Times New Roman" w:hAnsi="Times New Roman"/>
          <w:b/>
          <w:sz w:val="24"/>
          <w:szCs w:val="24"/>
          <w:lang w:val="ru-RU" w:eastAsia="ru-RU"/>
        </w:rPr>
        <w:t>фрукти</w:t>
      </w:r>
      <w:proofErr w:type="spellEnd"/>
    </w:p>
    <w:p w:rsidR="00023275" w:rsidRDefault="009A11AD" w:rsidP="0068080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napToGrid w:val="0"/>
          <w:sz w:val="24"/>
          <w:szCs w:val="24"/>
          <w:lang w:val="ru-RU"/>
        </w:rPr>
      </w:pPr>
      <w:r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ДК 021:2015: </w:t>
      </w:r>
      <w:r w:rsidR="003C4681" w:rsidRPr="003C4681">
        <w:rPr>
          <w:rFonts w:ascii="Times New Roman" w:hAnsi="Times New Roman"/>
          <w:b/>
          <w:snapToGrid w:val="0"/>
          <w:sz w:val="24"/>
          <w:szCs w:val="24"/>
        </w:rPr>
        <w:t>03220000-9 — Овочі, фрукти та горіхи</w:t>
      </w:r>
    </w:p>
    <w:p w:rsidR="00680803" w:rsidRPr="00680803" w:rsidRDefault="00680803" w:rsidP="0068080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DF77A2" w:rsidRPr="008243D4" w:rsidRDefault="00A36C1C" w:rsidP="00DF7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DF77A2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запит пропозиції постачальника </w:t>
      </w:r>
      <w:r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1178</w:t>
      </w:r>
      <w:r w:rsidR="00DF77A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DF77A2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.</w:t>
      </w:r>
    </w:p>
    <w:p w:rsidR="005F6DBA" w:rsidRDefault="005F6DBA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C40EF" w:rsidRDefault="002C40EF" w:rsidP="00E250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Замовника у закупівлі якісних продуктів для належної організації харчування в закладах </w:t>
      </w:r>
      <w:r w:rsidR="00356F5A" w:rsidRPr="00C23D9B">
        <w:rPr>
          <w:rFonts w:ascii="Times New Roman" w:hAnsi="Times New Roman" w:cs="Times New Roman"/>
          <w:sz w:val="24"/>
          <w:szCs w:val="24"/>
        </w:rPr>
        <w:t xml:space="preserve">дошкільної </w:t>
      </w:r>
      <w:r w:rsidRPr="00C23D9B">
        <w:rPr>
          <w:rFonts w:ascii="Times New Roman" w:hAnsi="Times New Roman" w:cs="Times New Roman"/>
          <w:sz w:val="24"/>
          <w:szCs w:val="24"/>
        </w:rPr>
        <w:t xml:space="preserve">освіти, що підпорядковані управлінню освіти </w:t>
      </w:r>
      <w:proofErr w:type="spellStart"/>
      <w:r w:rsidR="00356F5A" w:rsidRPr="00C23D9B">
        <w:rPr>
          <w:rFonts w:ascii="Times New Roman" w:hAnsi="Times New Roman" w:cs="Times New Roman"/>
          <w:sz w:val="24"/>
          <w:szCs w:val="24"/>
        </w:rPr>
        <w:t>Долин</w:t>
      </w:r>
      <w:r w:rsidRPr="00C23D9B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="00356F5A" w:rsidRPr="00C23D9B">
        <w:rPr>
          <w:rFonts w:ascii="Times New Roman" w:hAnsi="Times New Roman" w:cs="Times New Roman"/>
          <w:sz w:val="24"/>
          <w:szCs w:val="24"/>
        </w:rPr>
        <w:t xml:space="preserve"> міської ради Івано-Франківс</w:t>
      </w:r>
      <w:r w:rsidR="002E0949">
        <w:rPr>
          <w:rFonts w:ascii="Times New Roman" w:hAnsi="Times New Roman" w:cs="Times New Roman"/>
          <w:sz w:val="24"/>
          <w:szCs w:val="24"/>
        </w:rPr>
        <w:t>ької області у 20</w:t>
      </w:r>
      <w:r w:rsidR="00743F52">
        <w:rPr>
          <w:rFonts w:ascii="Times New Roman" w:hAnsi="Times New Roman" w:cs="Times New Roman"/>
          <w:sz w:val="24"/>
          <w:szCs w:val="24"/>
        </w:rPr>
        <w:t>2</w:t>
      </w:r>
      <w:r w:rsidR="00DF77A2">
        <w:rPr>
          <w:rFonts w:ascii="Times New Roman" w:hAnsi="Times New Roman" w:cs="Times New Roman"/>
          <w:sz w:val="24"/>
          <w:szCs w:val="24"/>
        </w:rPr>
        <w:t>4</w:t>
      </w:r>
      <w:r w:rsidR="003E1346" w:rsidRPr="00C23D9B">
        <w:rPr>
          <w:rFonts w:ascii="Times New Roman" w:hAnsi="Times New Roman" w:cs="Times New Roman"/>
          <w:sz w:val="24"/>
          <w:szCs w:val="24"/>
        </w:rPr>
        <w:t xml:space="preserve"> році</w:t>
      </w:r>
      <w:r w:rsidR="009A11AD">
        <w:rPr>
          <w:rFonts w:ascii="Times New Roman" w:hAnsi="Times New Roman" w:cs="Times New Roman"/>
          <w:sz w:val="24"/>
          <w:szCs w:val="24"/>
        </w:rPr>
        <w:t>.</w:t>
      </w:r>
    </w:p>
    <w:p w:rsidR="00A36C1C" w:rsidRDefault="00A36C1C" w:rsidP="00A36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AA" w:rsidRDefault="00A36C1C" w:rsidP="002E6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8F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Pr="002E68F9">
        <w:rPr>
          <w:rFonts w:ascii="Times New Roman" w:hAnsi="Times New Roman" w:cs="Times New Roman"/>
          <w:sz w:val="24"/>
          <w:szCs w:val="24"/>
        </w:rPr>
        <w:t xml:space="preserve"> </w:t>
      </w:r>
      <w:r w:rsidRPr="002E68F9">
        <w:t xml:space="preserve"> </w:t>
      </w:r>
      <w:r w:rsidR="003C4681" w:rsidRPr="003C4681">
        <w:rPr>
          <w:rFonts w:ascii="Times New Roman" w:hAnsi="Times New Roman" w:cs="Times New Roman"/>
          <w:sz w:val="24"/>
          <w:szCs w:val="24"/>
        </w:rPr>
        <w:t>UA-2023-12-21-015591-a</w:t>
      </w:r>
    </w:p>
    <w:p w:rsidR="002E68F9" w:rsidRPr="00C23D9B" w:rsidRDefault="002E68F9" w:rsidP="002E6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Pr="007D491E" w:rsidRDefault="00C23D9B" w:rsidP="00E25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23D9B" w:rsidRDefault="00C23D9B" w:rsidP="00C23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8A">
        <w:rPr>
          <w:rFonts w:ascii="Times New Roman" w:hAnsi="Times New Roman" w:cs="Times New Roman"/>
          <w:sz w:val="24"/>
          <w:szCs w:val="24"/>
        </w:rPr>
        <w:t>Вимоги до технічних та якісних характеристик предмету закупівлі обумовлені необхідністю закупівлі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68A">
        <w:rPr>
          <w:rFonts w:ascii="Times New Roman" w:hAnsi="Times New Roman" w:cs="Times New Roman"/>
          <w:sz w:val="24"/>
          <w:szCs w:val="24"/>
        </w:rPr>
        <w:t>якісних та безпечних для споживання харчових продуктів, що постачатимуться до освітніх закладів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Якість </w:t>
      </w:r>
      <w:r w:rsidR="00870ACC">
        <w:rPr>
          <w:rFonts w:ascii="Times New Roman" w:hAnsi="Times New Roman" w:cs="Times New Roman"/>
          <w:sz w:val="24"/>
          <w:szCs w:val="24"/>
        </w:rPr>
        <w:t>товару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 має відповідати вимогам встановленим чинним законодавством України, </w:t>
      </w:r>
      <w:r w:rsidR="00870ACC">
        <w:rPr>
          <w:rFonts w:ascii="Times New Roman" w:hAnsi="Times New Roman" w:cs="Times New Roman"/>
          <w:sz w:val="24"/>
          <w:szCs w:val="24"/>
        </w:rPr>
        <w:t>та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 іншими нормативн</w:t>
      </w:r>
      <w:r w:rsidR="00870ACC">
        <w:rPr>
          <w:rFonts w:ascii="Times New Roman" w:hAnsi="Times New Roman" w:cs="Times New Roman"/>
          <w:sz w:val="24"/>
          <w:szCs w:val="24"/>
        </w:rPr>
        <w:t xml:space="preserve">им </w:t>
      </w:r>
      <w:r w:rsidR="00870ACC" w:rsidRPr="00870ACC">
        <w:rPr>
          <w:rFonts w:ascii="Times New Roman" w:hAnsi="Times New Roman" w:cs="Times New Roman"/>
          <w:sz w:val="24"/>
          <w:szCs w:val="24"/>
        </w:rPr>
        <w:t>документам.</w:t>
      </w:r>
    </w:p>
    <w:p w:rsidR="00680803" w:rsidRPr="00680803" w:rsidRDefault="009A11AD" w:rsidP="00680803">
      <w:pPr>
        <w:pStyle w:val="ShiftAlt"/>
        <w:ind w:firstLine="567"/>
        <w:rPr>
          <w:rFonts w:eastAsia="Calibri"/>
          <w:sz w:val="22"/>
          <w:szCs w:val="22"/>
        </w:rPr>
      </w:pPr>
      <w:r w:rsidRPr="00696CE3">
        <w:rPr>
          <w:lang w:eastAsia="ru-RU"/>
        </w:rPr>
        <w:t>Технічні параметри:</w:t>
      </w:r>
      <w:r w:rsidR="00B15D79" w:rsidRPr="00B15D79">
        <w:rPr>
          <w:rFonts w:eastAsia="Calibri"/>
        </w:rPr>
        <w:t xml:space="preserve"> </w:t>
      </w:r>
    </w:p>
    <w:tbl>
      <w:tblPr>
        <w:tblW w:w="9876" w:type="dxa"/>
        <w:jc w:val="center"/>
        <w:tblInd w:w="-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2937"/>
        <w:gridCol w:w="1583"/>
        <w:gridCol w:w="1695"/>
        <w:gridCol w:w="3148"/>
      </w:tblGrid>
      <w:tr w:rsidR="00680803" w:rsidRPr="00680803" w:rsidTr="00847E95">
        <w:trPr>
          <w:trHeight w:val="463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680803" w:rsidRPr="00680803" w:rsidRDefault="00680803" w:rsidP="00680803">
            <w:pPr>
              <w:autoSpaceDE w:val="0"/>
              <w:autoSpaceDN w:val="0"/>
              <w:adjustRightInd w:val="0"/>
              <w:spacing w:after="0" w:line="210" w:lineRule="atLeast"/>
              <w:jc w:val="both"/>
              <w:textAlignment w:val="center"/>
              <w:rPr>
                <w:rFonts w:ascii="Times New Roman" w:eastAsia="Calibri" w:hAnsi="Times New Roman" w:cs="Myriad Pro"/>
                <w:color w:val="000000"/>
                <w:lang w:val="ru-RU"/>
              </w:rPr>
            </w:pPr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 xml:space="preserve">№ </w:t>
            </w:r>
            <w:proofErr w:type="gram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п</w:t>
            </w:r>
            <w:proofErr w:type="gramEnd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/п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680803" w:rsidRPr="00680803" w:rsidRDefault="00680803" w:rsidP="00680803">
            <w:pPr>
              <w:autoSpaceDE w:val="0"/>
              <w:autoSpaceDN w:val="0"/>
              <w:adjustRightInd w:val="0"/>
              <w:spacing w:after="0" w:line="210" w:lineRule="atLeast"/>
              <w:ind w:firstLine="227"/>
              <w:jc w:val="center"/>
              <w:textAlignment w:val="center"/>
              <w:rPr>
                <w:rFonts w:ascii="Times New Roman" w:eastAsia="Calibri" w:hAnsi="Times New Roman" w:cs="Myriad Pro"/>
                <w:color w:val="000000"/>
                <w:lang w:val="ru-RU"/>
              </w:rPr>
            </w:pPr>
            <w:proofErr w:type="spell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Найменування</w:t>
            </w:r>
            <w:proofErr w:type="spellEnd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 xml:space="preserve"> товару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680803" w:rsidRPr="00680803" w:rsidRDefault="00680803" w:rsidP="00680803">
            <w:pPr>
              <w:autoSpaceDE w:val="0"/>
              <w:autoSpaceDN w:val="0"/>
              <w:adjustRightInd w:val="0"/>
              <w:spacing w:after="0" w:line="210" w:lineRule="atLeast"/>
              <w:ind w:firstLine="227"/>
              <w:jc w:val="both"/>
              <w:textAlignment w:val="center"/>
              <w:rPr>
                <w:rFonts w:ascii="Times New Roman" w:eastAsia="Calibri" w:hAnsi="Times New Roman" w:cs="Myriad Pro"/>
                <w:color w:val="000000"/>
                <w:lang w:val="ru-RU"/>
              </w:rPr>
            </w:pPr>
            <w:proofErr w:type="spell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Одиниця</w:t>
            </w:r>
            <w:proofErr w:type="spellEnd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 xml:space="preserve"> </w:t>
            </w:r>
            <w:proofErr w:type="spell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вимірювання</w:t>
            </w:r>
            <w:proofErr w:type="spellEnd"/>
          </w:p>
        </w:tc>
        <w:tc>
          <w:tcPr>
            <w:tcW w:w="1695" w:type="dxa"/>
            <w:shd w:val="clear" w:color="auto" w:fill="auto"/>
            <w:vAlign w:val="center"/>
          </w:tcPr>
          <w:p w:rsidR="00680803" w:rsidRPr="00680803" w:rsidRDefault="00680803" w:rsidP="00680803">
            <w:pPr>
              <w:autoSpaceDE w:val="0"/>
              <w:autoSpaceDN w:val="0"/>
              <w:adjustRightInd w:val="0"/>
              <w:spacing w:after="0" w:line="210" w:lineRule="atLeast"/>
              <w:ind w:firstLine="227"/>
              <w:jc w:val="both"/>
              <w:textAlignment w:val="center"/>
              <w:rPr>
                <w:rFonts w:ascii="Times New Roman" w:eastAsia="Calibri" w:hAnsi="Times New Roman" w:cs="Myriad Pro"/>
                <w:color w:val="000000"/>
                <w:lang w:val="ru-RU"/>
              </w:rPr>
            </w:pPr>
            <w:proofErr w:type="spell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Кількість</w:t>
            </w:r>
            <w:proofErr w:type="spellEnd"/>
          </w:p>
        </w:tc>
        <w:tc>
          <w:tcPr>
            <w:tcW w:w="3148" w:type="dxa"/>
            <w:shd w:val="clear" w:color="auto" w:fill="auto"/>
          </w:tcPr>
          <w:p w:rsidR="00680803" w:rsidRPr="00680803" w:rsidRDefault="00680803" w:rsidP="00680803">
            <w:pPr>
              <w:autoSpaceDE w:val="0"/>
              <w:autoSpaceDN w:val="0"/>
              <w:adjustRightInd w:val="0"/>
              <w:spacing w:after="0" w:line="210" w:lineRule="atLeast"/>
              <w:ind w:firstLine="227"/>
              <w:jc w:val="center"/>
              <w:textAlignment w:val="center"/>
              <w:rPr>
                <w:rFonts w:ascii="Times New Roman" w:eastAsia="Calibri" w:hAnsi="Times New Roman" w:cs="Myriad Pro"/>
                <w:color w:val="000000"/>
                <w:lang w:val="ru-RU"/>
              </w:rPr>
            </w:pPr>
            <w:proofErr w:type="spell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Відповідність</w:t>
            </w:r>
            <w:proofErr w:type="spellEnd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 xml:space="preserve"> </w:t>
            </w:r>
            <w:proofErr w:type="spellStart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>діючи</w:t>
            </w:r>
            <w:proofErr w:type="spellEnd"/>
            <w:r w:rsidRPr="00680803">
              <w:rPr>
                <w:rFonts w:ascii="Times New Roman" w:eastAsia="Calibri" w:hAnsi="Times New Roman" w:cs="Myriad Pro"/>
                <w:color w:val="000000"/>
                <w:lang w:val="ru-RU"/>
              </w:rPr>
              <w:t xml:space="preserve"> стандартам</w:t>
            </w:r>
          </w:p>
        </w:tc>
      </w:tr>
      <w:tr w:rsidR="003C4681" w:rsidRPr="00680803" w:rsidTr="00847E95">
        <w:trPr>
          <w:trHeight w:val="255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3C4681" w:rsidRPr="009576AC" w:rsidRDefault="003C4681" w:rsidP="00847E95">
            <w:pPr>
              <w:pStyle w:val="ShiftAlt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937" w:type="dxa"/>
            <w:vAlign w:val="center"/>
          </w:tcPr>
          <w:p w:rsidR="003C4681" w:rsidRPr="009576AC" w:rsidRDefault="003C4681" w:rsidP="00847E95">
            <w:pPr>
              <w:pStyle w:val="ShiftAlt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 xml:space="preserve">Буряк </w:t>
            </w:r>
            <w:proofErr w:type="spellStart"/>
            <w:r w:rsidRPr="009576AC">
              <w:rPr>
                <w:sz w:val="22"/>
                <w:szCs w:val="22"/>
                <w:lang w:val="ru-RU"/>
              </w:rPr>
              <w:t>столовий</w:t>
            </w:r>
            <w:proofErr w:type="spellEnd"/>
          </w:p>
        </w:tc>
        <w:tc>
          <w:tcPr>
            <w:tcW w:w="1583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кг</w:t>
            </w:r>
          </w:p>
        </w:tc>
        <w:tc>
          <w:tcPr>
            <w:tcW w:w="1695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9576AC">
              <w:rPr>
                <w:rFonts w:eastAsia="Times New Roman"/>
                <w:sz w:val="22"/>
                <w:szCs w:val="22"/>
                <w:lang w:val="ru-RU"/>
              </w:rPr>
              <w:t>6072</w:t>
            </w:r>
          </w:p>
        </w:tc>
        <w:tc>
          <w:tcPr>
            <w:tcW w:w="3148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ДСТУ 7033:2009</w:t>
            </w:r>
          </w:p>
        </w:tc>
      </w:tr>
      <w:tr w:rsidR="003C4681" w:rsidRPr="00680803" w:rsidTr="00847E95">
        <w:trPr>
          <w:trHeight w:val="228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3C4681" w:rsidRPr="009576AC" w:rsidRDefault="003C4681" w:rsidP="00847E95">
            <w:pPr>
              <w:pStyle w:val="ShiftAlt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937" w:type="dxa"/>
            <w:vAlign w:val="center"/>
          </w:tcPr>
          <w:p w:rsidR="003C4681" w:rsidRPr="009576AC" w:rsidRDefault="003C4681" w:rsidP="00847E95">
            <w:pPr>
              <w:pStyle w:val="ShiftAlt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 xml:space="preserve">Капуста </w:t>
            </w:r>
            <w:proofErr w:type="spellStart"/>
            <w:r w:rsidRPr="009576AC">
              <w:rPr>
                <w:sz w:val="22"/>
                <w:szCs w:val="22"/>
                <w:lang w:val="ru-RU"/>
              </w:rPr>
              <w:t>білоголова</w:t>
            </w:r>
            <w:proofErr w:type="spellEnd"/>
            <w:r w:rsidRPr="009576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9576AC">
              <w:rPr>
                <w:sz w:val="22"/>
                <w:szCs w:val="22"/>
                <w:lang w:val="ru-RU"/>
              </w:rPr>
              <w:t>св</w:t>
            </w:r>
            <w:proofErr w:type="gramEnd"/>
            <w:r w:rsidRPr="009576AC">
              <w:rPr>
                <w:sz w:val="22"/>
                <w:szCs w:val="22"/>
                <w:lang w:val="ru-RU"/>
              </w:rPr>
              <w:t>іжа</w:t>
            </w:r>
            <w:proofErr w:type="spellEnd"/>
          </w:p>
        </w:tc>
        <w:tc>
          <w:tcPr>
            <w:tcW w:w="1583" w:type="dxa"/>
          </w:tcPr>
          <w:p w:rsidR="003C4681" w:rsidRPr="009576AC" w:rsidRDefault="003C4681" w:rsidP="00847E95">
            <w:pPr>
              <w:pStyle w:val="ShiftAlt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кг</w:t>
            </w:r>
          </w:p>
        </w:tc>
        <w:tc>
          <w:tcPr>
            <w:tcW w:w="1695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9576AC">
              <w:rPr>
                <w:rFonts w:eastAsia="Times New Roman"/>
                <w:sz w:val="22"/>
                <w:szCs w:val="22"/>
                <w:lang w:val="ru-RU"/>
              </w:rPr>
              <w:t>6070</w:t>
            </w:r>
          </w:p>
        </w:tc>
        <w:tc>
          <w:tcPr>
            <w:tcW w:w="3148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ДСТУ 7037:2009</w:t>
            </w:r>
          </w:p>
        </w:tc>
      </w:tr>
      <w:tr w:rsidR="003C4681" w:rsidRPr="00680803" w:rsidTr="00847E95">
        <w:trPr>
          <w:trHeight w:val="228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3C4681" w:rsidRPr="009576AC" w:rsidRDefault="003C4681" w:rsidP="00847E95">
            <w:pPr>
              <w:pStyle w:val="ShiftAlt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937" w:type="dxa"/>
            <w:vAlign w:val="center"/>
          </w:tcPr>
          <w:p w:rsidR="003C4681" w:rsidRPr="009576AC" w:rsidRDefault="003C4681" w:rsidP="00847E95">
            <w:pPr>
              <w:pStyle w:val="ShiftAlt"/>
              <w:ind w:firstLine="0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9576AC">
              <w:rPr>
                <w:sz w:val="22"/>
                <w:szCs w:val="22"/>
                <w:lang w:val="ru-RU"/>
              </w:rPr>
              <w:t>Морква</w:t>
            </w:r>
            <w:proofErr w:type="spellEnd"/>
            <w:r w:rsidRPr="009576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9576AC">
              <w:rPr>
                <w:sz w:val="22"/>
                <w:szCs w:val="22"/>
                <w:lang w:val="ru-RU"/>
              </w:rPr>
              <w:t>св</w:t>
            </w:r>
            <w:proofErr w:type="gramEnd"/>
            <w:r w:rsidRPr="009576AC">
              <w:rPr>
                <w:sz w:val="22"/>
                <w:szCs w:val="22"/>
                <w:lang w:val="ru-RU"/>
              </w:rPr>
              <w:t>іжа</w:t>
            </w:r>
            <w:proofErr w:type="spellEnd"/>
          </w:p>
        </w:tc>
        <w:tc>
          <w:tcPr>
            <w:tcW w:w="1583" w:type="dxa"/>
          </w:tcPr>
          <w:p w:rsidR="003C4681" w:rsidRPr="009576AC" w:rsidRDefault="003C4681" w:rsidP="00847E95">
            <w:pPr>
              <w:pStyle w:val="ShiftAlt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кг</w:t>
            </w:r>
          </w:p>
        </w:tc>
        <w:tc>
          <w:tcPr>
            <w:tcW w:w="1695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9576AC">
              <w:rPr>
                <w:rFonts w:eastAsia="Times New Roman"/>
                <w:sz w:val="22"/>
                <w:szCs w:val="22"/>
                <w:lang w:val="ru-RU"/>
              </w:rPr>
              <w:t>3758</w:t>
            </w:r>
          </w:p>
        </w:tc>
        <w:tc>
          <w:tcPr>
            <w:tcW w:w="3148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ДСТУ 7035:2009</w:t>
            </w:r>
          </w:p>
        </w:tc>
      </w:tr>
      <w:tr w:rsidR="003C4681" w:rsidRPr="00680803" w:rsidTr="003C4681">
        <w:trPr>
          <w:trHeight w:val="228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3C4681" w:rsidRPr="009576AC" w:rsidRDefault="003C4681" w:rsidP="00847E95">
            <w:pPr>
              <w:pStyle w:val="ShiftAlt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937" w:type="dxa"/>
            <w:vAlign w:val="center"/>
          </w:tcPr>
          <w:p w:rsidR="003C4681" w:rsidRPr="009576AC" w:rsidRDefault="003C4681" w:rsidP="00847E95">
            <w:pPr>
              <w:pStyle w:val="ShiftAlt"/>
              <w:ind w:firstLine="0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9576AC">
              <w:rPr>
                <w:sz w:val="22"/>
                <w:szCs w:val="22"/>
                <w:lang w:val="ru-RU"/>
              </w:rPr>
              <w:t>Гарбуз</w:t>
            </w:r>
            <w:proofErr w:type="spellEnd"/>
            <w:r w:rsidRPr="009576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76AC">
              <w:rPr>
                <w:sz w:val="22"/>
                <w:szCs w:val="22"/>
                <w:lang w:val="ru-RU"/>
              </w:rPr>
              <w:t>продовольчий</w:t>
            </w:r>
            <w:proofErr w:type="spellEnd"/>
            <w:r w:rsidRPr="009576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9576AC">
              <w:rPr>
                <w:sz w:val="22"/>
                <w:szCs w:val="22"/>
                <w:lang w:val="ru-RU"/>
              </w:rPr>
              <w:t>св</w:t>
            </w:r>
            <w:proofErr w:type="gramEnd"/>
            <w:r w:rsidRPr="009576AC">
              <w:rPr>
                <w:sz w:val="22"/>
                <w:szCs w:val="22"/>
                <w:lang w:val="ru-RU"/>
              </w:rPr>
              <w:t>іжий</w:t>
            </w:r>
            <w:proofErr w:type="spellEnd"/>
          </w:p>
        </w:tc>
        <w:tc>
          <w:tcPr>
            <w:tcW w:w="1583" w:type="dxa"/>
            <w:vAlign w:val="center"/>
          </w:tcPr>
          <w:p w:rsidR="003C4681" w:rsidRPr="009576AC" w:rsidRDefault="003C4681" w:rsidP="003C4681">
            <w:pPr>
              <w:pStyle w:val="ShiftAlt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кг</w:t>
            </w:r>
          </w:p>
        </w:tc>
        <w:tc>
          <w:tcPr>
            <w:tcW w:w="1695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9576AC">
              <w:rPr>
                <w:rFonts w:eastAsia="Times New Roman"/>
                <w:sz w:val="22"/>
                <w:szCs w:val="22"/>
                <w:lang w:val="ru-RU"/>
              </w:rPr>
              <w:t>442</w:t>
            </w:r>
          </w:p>
        </w:tc>
        <w:tc>
          <w:tcPr>
            <w:tcW w:w="3148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ДСТУ 3190-95</w:t>
            </w:r>
          </w:p>
        </w:tc>
      </w:tr>
      <w:tr w:rsidR="003C4681" w:rsidRPr="00680803" w:rsidTr="00847E95">
        <w:trPr>
          <w:trHeight w:val="228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3C4681" w:rsidRPr="009576AC" w:rsidRDefault="003C4681" w:rsidP="00847E95">
            <w:pPr>
              <w:pStyle w:val="ShiftAlt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937" w:type="dxa"/>
            <w:vAlign w:val="center"/>
          </w:tcPr>
          <w:p w:rsidR="003C4681" w:rsidRPr="009576AC" w:rsidRDefault="003C4681" w:rsidP="00847E95">
            <w:pPr>
              <w:pStyle w:val="ShiftAlt"/>
              <w:ind w:firstLine="0"/>
              <w:jc w:val="left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 xml:space="preserve">Цибуля </w:t>
            </w:r>
            <w:proofErr w:type="spellStart"/>
            <w:proofErr w:type="gramStart"/>
            <w:r w:rsidRPr="009576AC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9576AC">
              <w:rPr>
                <w:sz w:val="22"/>
                <w:szCs w:val="22"/>
                <w:lang w:val="ru-RU"/>
              </w:rPr>
              <w:t>іпчаста</w:t>
            </w:r>
            <w:proofErr w:type="spellEnd"/>
            <w:r w:rsidRPr="009576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76AC">
              <w:rPr>
                <w:sz w:val="22"/>
                <w:szCs w:val="22"/>
                <w:lang w:val="ru-RU"/>
              </w:rPr>
              <w:t>свіжа</w:t>
            </w:r>
            <w:proofErr w:type="spellEnd"/>
          </w:p>
        </w:tc>
        <w:tc>
          <w:tcPr>
            <w:tcW w:w="1583" w:type="dxa"/>
          </w:tcPr>
          <w:p w:rsidR="003C4681" w:rsidRPr="009576AC" w:rsidRDefault="003C4681" w:rsidP="00847E95">
            <w:pPr>
              <w:pStyle w:val="ShiftAlt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кг</w:t>
            </w:r>
          </w:p>
        </w:tc>
        <w:tc>
          <w:tcPr>
            <w:tcW w:w="1695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9576AC">
              <w:rPr>
                <w:rFonts w:eastAsia="Times New Roman"/>
                <w:sz w:val="22"/>
                <w:szCs w:val="22"/>
                <w:lang w:val="ru-RU"/>
              </w:rPr>
              <w:t>3570</w:t>
            </w:r>
          </w:p>
        </w:tc>
        <w:tc>
          <w:tcPr>
            <w:tcW w:w="3148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ДСТУ 3234-95</w:t>
            </w:r>
          </w:p>
        </w:tc>
      </w:tr>
      <w:tr w:rsidR="003C4681" w:rsidRPr="00680803" w:rsidTr="00847E95">
        <w:trPr>
          <w:trHeight w:val="228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3C4681" w:rsidRPr="009576AC" w:rsidRDefault="003C4681" w:rsidP="00847E95">
            <w:pPr>
              <w:pStyle w:val="ShiftAlt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937" w:type="dxa"/>
            <w:vAlign w:val="center"/>
          </w:tcPr>
          <w:p w:rsidR="003C4681" w:rsidRPr="009576AC" w:rsidRDefault="003C4681" w:rsidP="00847E95">
            <w:pPr>
              <w:pStyle w:val="ShiftAlt"/>
              <w:ind w:firstLine="0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9576AC">
              <w:rPr>
                <w:sz w:val="22"/>
                <w:szCs w:val="22"/>
                <w:lang w:val="ru-RU"/>
              </w:rPr>
              <w:t>Апельсини</w:t>
            </w:r>
            <w:proofErr w:type="spellEnd"/>
            <w:r w:rsidRPr="009576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9576AC">
              <w:rPr>
                <w:sz w:val="22"/>
                <w:szCs w:val="22"/>
                <w:lang w:val="ru-RU"/>
              </w:rPr>
              <w:t>св</w:t>
            </w:r>
            <w:proofErr w:type="gramEnd"/>
            <w:r w:rsidRPr="009576AC">
              <w:rPr>
                <w:sz w:val="22"/>
                <w:szCs w:val="22"/>
                <w:lang w:val="ru-RU"/>
              </w:rPr>
              <w:t>іжі</w:t>
            </w:r>
            <w:proofErr w:type="spellEnd"/>
          </w:p>
        </w:tc>
        <w:tc>
          <w:tcPr>
            <w:tcW w:w="1583" w:type="dxa"/>
          </w:tcPr>
          <w:p w:rsidR="003C4681" w:rsidRPr="009576AC" w:rsidRDefault="003C4681" w:rsidP="00847E95">
            <w:pPr>
              <w:pStyle w:val="ShiftAlt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кг</w:t>
            </w:r>
          </w:p>
        </w:tc>
        <w:tc>
          <w:tcPr>
            <w:tcW w:w="1695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9576AC">
              <w:rPr>
                <w:rFonts w:eastAsia="Times New Roman"/>
                <w:sz w:val="22"/>
                <w:szCs w:val="22"/>
                <w:lang w:val="ru-RU"/>
              </w:rPr>
              <w:t>1272</w:t>
            </w:r>
          </w:p>
        </w:tc>
        <w:tc>
          <w:tcPr>
            <w:tcW w:w="3148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ДСТУ 4427-82</w:t>
            </w:r>
          </w:p>
        </w:tc>
      </w:tr>
      <w:tr w:rsidR="003C4681" w:rsidRPr="00680803" w:rsidTr="00847E95">
        <w:trPr>
          <w:trHeight w:val="228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3C4681" w:rsidRPr="009576AC" w:rsidRDefault="003C4681" w:rsidP="00847E95">
            <w:pPr>
              <w:pStyle w:val="ShiftAlt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2937" w:type="dxa"/>
            <w:vAlign w:val="center"/>
          </w:tcPr>
          <w:p w:rsidR="003C4681" w:rsidRPr="009576AC" w:rsidRDefault="003C4681" w:rsidP="00847E95">
            <w:pPr>
              <w:pStyle w:val="ShiftAlt"/>
              <w:ind w:firstLine="0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9576AC">
              <w:rPr>
                <w:sz w:val="22"/>
                <w:szCs w:val="22"/>
                <w:lang w:val="ru-RU"/>
              </w:rPr>
              <w:t>Мандарини</w:t>
            </w:r>
            <w:proofErr w:type="spellEnd"/>
            <w:r w:rsidRPr="009576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9576AC">
              <w:rPr>
                <w:sz w:val="22"/>
                <w:szCs w:val="22"/>
                <w:lang w:val="ru-RU"/>
              </w:rPr>
              <w:t>св</w:t>
            </w:r>
            <w:proofErr w:type="gramEnd"/>
            <w:r w:rsidRPr="009576AC">
              <w:rPr>
                <w:sz w:val="22"/>
                <w:szCs w:val="22"/>
                <w:lang w:val="ru-RU"/>
              </w:rPr>
              <w:t>іжі</w:t>
            </w:r>
            <w:proofErr w:type="spellEnd"/>
          </w:p>
        </w:tc>
        <w:tc>
          <w:tcPr>
            <w:tcW w:w="1583" w:type="dxa"/>
          </w:tcPr>
          <w:p w:rsidR="003C4681" w:rsidRPr="009576AC" w:rsidRDefault="003C4681" w:rsidP="00847E95">
            <w:pPr>
              <w:pStyle w:val="ShiftAlt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кг</w:t>
            </w:r>
          </w:p>
        </w:tc>
        <w:tc>
          <w:tcPr>
            <w:tcW w:w="1695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9576AC">
              <w:rPr>
                <w:rFonts w:eastAsia="Times New Roman"/>
                <w:sz w:val="22"/>
                <w:szCs w:val="22"/>
                <w:lang w:val="ru-RU"/>
              </w:rPr>
              <w:t>693</w:t>
            </w:r>
          </w:p>
        </w:tc>
        <w:tc>
          <w:tcPr>
            <w:tcW w:w="3148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ДСТУ 4428-82</w:t>
            </w:r>
          </w:p>
        </w:tc>
      </w:tr>
      <w:tr w:rsidR="003C4681" w:rsidRPr="00680803" w:rsidTr="00847E95">
        <w:trPr>
          <w:trHeight w:val="228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3C4681" w:rsidRPr="009576AC" w:rsidRDefault="003C4681" w:rsidP="00847E95">
            <w:pPr>
              <w:pStyle w:val="ShiftAlt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2937" w:type="dxa"/>
            <w:vAlign w:val="center"/>
          </w:tcPr>
          <w:p w:rsidR="003C4681" w:rsidRPr="009576AC" w:rsidRDefault="003C4681" w:rsidP="00847E95">
            <w:pPr>
              <w:pStyle w:val="ShiftAlt"/>
              <w:ind w:firstLine="0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9576AC">
              <w:rPr>
                <w:sz w:val="22"/>
                <w:szCs w:val="22"/>
                <w:lang w:val="ru-RU"/>
              </w:rPr>
              <w:t>Яблука</w:t>
            </w:r>
            <w:proofErr w:type="spellEnd"/>
            <w:r w:rsidRPr="009576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9576AC">
              <w:rPr>
                <w:sz w:val="22"/>
                <w:szCs w:val="22"/>
                <w:lang w:val="ru-RU"/>
              </w:rPr>
              <w:t>св</w:t>
            </w:r>
            <w:proofErr w:type="gramEnd"/>
            <w:r w:rsidRPr="009576AC">
              <w:rPr>
                <w:sz w:val="22"/>
                <w:szCs w:val="22"/>
                <w:lang w:val="ru-RU"/>
              </w:rPr>
              <w:t>іжі</w:t>
            </w:r>
            <w:proofErr w:type="spellEnd"/>
          </w:p>
        </w:tc>
        <w:tc>
          <w:tcPr>
            <w:tcW w:w="1583" w:type="dxa"/>
          </w:tcPr>
          <w:p w:rsidR="003C4681" w:rsidRPr="009576AC" w:rsidRDefault="003C4681" w:rsidP="00847E95">
            <w:pPr>
              <w:pStyle w:val="ShiftAlt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кг</w:t>
            </w:r>
          </w:p>
        </w:tc>
        <w:tc>
          <w:tcPr>
            <w:tcW w:w="1695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9576AC">
              <w:rPr>
                <w:rFonts w:eastAsia="Times New Roman"/>
                <w:sz w:val="22"/>
                <w:szCs w:val="22"/>
                <w:lang w:val="ru-RU"/>
              </w:rPr>
              <w:t>6211</w:t>
            </w:r>
          </w:p>
        </w:tc>
        <w:tc>
          <w:tcPr>
            <w:tcW w:w="3148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ДСТУ 8133:2015</w:t>
            </w:r>
          </w:p>
        </w:tc>
      </w:tr>
      <w:tr w:rsidR="003C4681" w:rsidRPr="00680803" w:rsidTr="00847E95">
        <w:trPr>
          <w:trHeight w:val="228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3C4681" w:rsidRPr="009576AC" w:rsidRDefault="003C4681" w:rsidP="00847E95">
            <w:pPr>
              <w:pStyle w:val="ShiftAlt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2937" w:type="dxa"/>
            <w:vAlign w:val="center"/>
          </w:tcPr>
          <w:p w:rsidR="003C4681" w:rsidRPr="009576AC" w:rsidRDefault="003C4681" w:rsidP="00847E95">
            <w:pPr>
              <w:pStyle w:val="ShiftAlt"/>
              <w:ind w:firstLine="0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9576AC">
              <w:rPr>
                <w:sz w:val="22"/>
                <w:szCs w:val="22"/>
                <w:lang w:val="ru-RU"/>
              </w:rPr>
              <w:t>Банани</w:t>
            </w:r>
            <w:proofErr w:type="spellEnd"/>
            <w:r w:rsidRPr="009576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9576AC">
              <w:rPr>
                <w:sz w:val="22"/>
                <w:szCs w:val="22"/>
                <w:lang w:val="ru-RU"/>
              </w:rPr>
              <w:t>св</w:t>
            </w:r>
            <w:proofErr w:type="gramEnd"/>
            <w:r w:rsidRPr="009576AC">
              <w:rPr>
                <w:sz w:val="22"/>
                <w:szCs w:val="22"/>
                <w:lang w:val="ru-RU"/>
              </w:rPr>
              <w:t>іжі</w:t>
            </w:r>
            <w:proofErr w:type="spellEnd"/>
          </w:p>
        </w:tc>
        <w:tc>
          <w:tcPr>
            <w:tcW w:w="1583" w:type="dxa"/>
          </w:tcPr>
          <w:p w:rsidR="003C4681" w:rsidRPr="009576AC" w:rsidRDefault="003C4681" w:rsidP="00847E95">
            <w:pPr>
              <w:pStyle w:val="ShiftAlt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кг</w:t>
            </w:r>
          </w:p>
        </w:tc>
        <w:tc>
          <w:tcPr>
            <w:tcW w:w="1695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9576AC">
              <w:rPr>
                <w:rFonts w:eastAsia="Times New Roman"/>
                <w:sz w:val="22"/>
                <w:szCs w:val="22"/>
                <w:lang w:val="ru-RU"/>
              </w:rPr>
              <w:t>6120</w:t>
            </w:r>
          </w:p>
        </w:tc>
        <w:tc>
          <w:tcPr>
            <w:tcW w:w="3148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ДСТУ 4033:2001</w:t>
            </w:r>
          </w:p>
        </w:tc>
      </w:tr>
      <w:tr w:rsidR="003C4681" w:rsidRPr="00680803" w:rsidTr="00847E95">
        <w:trPr>
          <w:trHeight w:val="321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3C4681" w:rsidRPr="009576AC" w:rsidRDefault="003C4681" w:rsidP="00847E95">
            <w:pPr>
              <w:pStyle w:val="ShiftAlt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2937" w:type="dxa"/>
            <w:vAlign w:val="center"/>
          </w:tcPr>
          <w:p w:rsidR="003C4681" w:rsidRPr="009576AC" w:rsidRDefault="003C4681" w:rsidP="00847E95">
            <w:pPr>
              <w:pStyle w:val="ShiftAlt"/>
              <w:ind w:firstLine="0"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9576AC">
              <w:rPr>
                <w:sz w:val="22"/>
                <w:szCs w:val="22"/>
                <w:lang w:val="ru-RU"/>
              </w:rPr>
              <w:t>Лимони</w:t>
            </w:r>
            <w:proofErr w:type="spellEnd"/>
            <w:r w:rsidRPr="009576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9576AC">
              <w:rPr>
                <w:sz w:val="22"/>
                <w:szCs w:val="22"/>
                <w:lang w:val="ru-RU"/>
              </w:rPr>
              <w:t>св</w:t>
            </w:r>
            <w:proofErr w:type="gramEnd"/>
            <w:r w:rsidRPr="009576AC">
              <w:rPr>
                <w:sz w:val="22"/>
                <w:szCs w:val="22"/>
                <w:lang w:val="ru-RU"/>
              </w:rPr>
              <w:t>іжі</w:t>
            </w:r>
            <w:proofErr w:type="spellEnd"/>
          </w:p>
        </w:tc>
        <w:tc>
          <w:tcPr>
            <w:tcW w:w="1583" w:type="dxa"/>
          </w:tcPr>
          <w:p w:rsidR="003C4681" w:rsidRPr="009576AC" w:rsidRDefault="003C4681" w:rsidP="00847E95">
            <w:pPr>
              <w:pStyle w:val="ShiftAlt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кг</w:t>
            </w:r>
          </w:p>
        </w:tc>
        <w:tc>
          <w:tcPr>
            <w:tcW w:w="1695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9576AC">
              <w:rPr>
                <w:rFonts w:eastAsia="Times New Roman"/>
                <w:sz w:val="22"/>
                <w:szCs w:val="22"/>
                <w:lang w:val="ru-RU"/>
              </w:rPr>
              <w:t>303</w:t>
            </w:r>
          </w:p>
        </w:tc>
        <w:tc>
          <w:tcPr>
            <w:tcW w:w="3148" w:type="dxa"/>
            <w:vAlign w:val="center"/>
          </w:tcPr>
          <w:p w:rsidR="003C4681" w:rsidRPr="009576AC" w:rsidRDefault="003C4681" w:rsidP="00847E95">
            <w:pPr>
              <w:pStyle w:val="ShiftAlt"/>
              <w:jc w:val="center"/>
              <w:rPr>
                <w:sz w:val="22"/>
                <w:szCs w:val="22"/>
                <w:lang w:val="ru-RU"/>
              </w:rPr>
            </w:pPr>
            <w:r w:rsidRPr="009576AC">
              <w:rPr>
                <w:sz w:val="22"/>
                <w:szCs w:val="22"/>
                <w:lang w:val="ru-RU"/>
              </w:rPr>
              <w:t>ДСТУ 4429-82</w:t>
            </w:r>
          </w:p>
        </w:tc>
      </w:tr>
    </w:tbl>
    <w:p w:rsidR="00743F52" w:rsidRDefault="00743F52" w:rsidP="00680803">
      <w:pPr>
        <w:pStyle w:val="ShiftAlt"/>
        <w:ind w:firstLine="567"/>
        <w:rPr>
          <w:rFonts w:eastAsia="Times New Roman" w:cs="Times New Roman"/>
          <w:b/>
          <w:szCs w:val="24"/>
          <w:u w:val="single"/>
          <w:bdr w:val="none" w:sz="0" w:space="0" w:color="auto" w:frame="1"/>
          <w:lang w:eastAsia="uk-UA"/>
        </w:rPr>
      </w:pPr>
      <w:r w:rsidRPr="00C23D9B">
        <w:rPr>
          <w:rFonts w:eastAsia="Times New Roman" w:cs="Times New Roman"/>
          <w:b/>
          <w:szCs w:val="24"/>
          <w:u w:val="single"/>
          <w:bdr w:val="none" w:sz="0" w:space="0" w:color="auto" w:frame="1"/>
          <w:lang w:eastAsia="uk-UA"/>
        </w:rPr>
        <w:t>Розмір бюджетного призначення</w:t>
      </w:r>
      <w:r w:rsidRPr="0030497B">
        <w:rPr>
          <w:rFonts w:eastAsia="Times New Roman" w:cs="Times New Roman"/>
          <w:szCs w:val="24"/>
          <w:bdr w:val="none" w:sz="0" w:space="0" w:color="auto" w:frame="1"/>
          <w:lang w:eastAsia="uk-UA"/>
        </w:rPr>
        <w:t xml:space="preserve"> </w:t>
      </w:r>
      <w:r w:rsidRPr="00374509">
        <w:rPr>
          <w:rFonts w:eastAsia="Times New Roman" w:cs="Times New Roman"/>
          <w:szCs w:val="24"/>
          <w:bdr w:val="none" w:sz="0" w:space="0" w:color="auto" w:frame="1"/>
          <w:lang w:eastAsia="uk-UA"/>
        </w:rPr>
        <w:t>на момент початку процедури закупівлі бюджетні призначення не затверджені, закупівля оголошена на очікувану вартість</w:t>
      </w:r>
      <w:r>
        <w:rPr>
          <w:rFonts w:eastAsia="Times New Roman" w:cs="Times New Roman"/>
          <w:szCs w:val="24"/>
          <w:bdr w:val="none" w:sz="0" w:space="0" w:color="auto" w:frame="1"/>
          <w:lang w:eastAsia="uk-UA"/>
        </w:rPr>
        <w:t xml:space="preserve"> згідно потреби на 202</w:t>
      </w:r>
      <w:r w:rsidR="00870ACC">
        <w:rPr>
          <w:rFonts w:eastAsia="Times New Roman" w:cs="Times New Roman"/>
          <w:szCs w:val="24"/>
          <w:bdr w:val="none" w:sz="0" w:space="0" w:color="auto" w:frame="1"/>
          <w:lang w:eastAsia="uk-UA"/>
        </w:rPr>
        <w:t>4</w:t>
      </w:r>
      <w:r>
        <w:rPr>
          <w:rFonts w:eastAsia="Times New Roman" w:cs="Times New Roman"/>
          <w:szCs w:val="24"/>
          <w:bdr w:val="none" w:sz="0" w:space="0" w:color="auto" w:frame="1"/>
          <w:lang w:eastAsia="uk-UA"/>
        </w:rPr>
        <w:t xml:space="preserve"> рік</w:t>
      </w:r>
      <w:r w:rsidR="00584317">
        <w:rPr>
          <w:rFonts w:eastAsia="Times New Roman" w:cs="Times New Roman"/>
          <w:szCs w:val="24"/>
          <w:bdr w:val="none" w:sz="0" w:space="0" w:color="auto" w:frame="1"/>
          <w:lang w:eastAsia="uk-UA"/>
        </w:rPr>
        <w:t>.</w:t>
      </w:r>
    </w:p>
    <w:p w:rsidR="00023275" w:rsidRDefault="00023275" w:rsidP="00E2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584317" w:rsidRDefault="00584317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17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9C4AC5">
        <w:rPr>
          <w:rFonts w:ascii="Times New Roman" w:hAnsi="Times New Roman" w:cs="Times New Roman"/>
          <w:sz w:val="24"/>
          <w:szCs w:val="24"/>
        </w:rPr>
        <w:t>здійснено</w:t>
      </w:r>
      <w:r w:rsidRPr="00584317">
        <w:rPr>
          <w:rFonts w:ascii="Times New Roman" w:hAnsi="Times New Roman" w:cs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</w:t>
      </w:r>
      <w:r w:rsidR="0035434B">
        <w:rPr>
          <w:rFonts w:ascii="Times New Roman" w:hAnsi="Times New Roman" w:cs="Times New Roman"/>
          <w:sz w:val="24"/>
          <w:szCs w:val="24"/>
        </w:rPr>
        <w:t xml:space="preserve">дарства України від 18.02.2020 </w:t>
      </w:r>
      <w:r w:rsidRPr="00584317">
        <w:rPr>
          <w:rFonts w:ascii="Times New Roman" w:hAnsi="Times New Roman" w:cs="Times New Roman"/>
          <w:sz w:val="24"/>
          <w:szCs w:val="24"/>
        </w:rPr>
        <w:t>№ 275 із змінами.</w:t>
      </w:r>
    </w:p>
    <w:p w:rsidR="00584317" w:rsidRDefault="009C4AC5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AC5">
        <w:rPr>
          <w:rFonts w:ascii="Times New Roman" w:hAnsi="Times New Roman" w:cs="Times New Roman"/>
          <w:sz w:val="24"/>
          <w:szCs w:val="24"/>
        </w:rPr>
        <w:t>Розрахунок потреби на 202</w:t>
      </w:r>
      <w:r w:rsidR="00870ACC">
        <w:rPr>
          <w:rFonts w:ascii="Times New Roman" w:hAnsi="Times New Roman" w:cs="Times New Roman"/>
          <w:sz w:val="24"/>
          <w:szCs w:val="24"/>
        </w:rPr>
        <w:t>4</w:t>
      </w:r>
      <w:r w:rsidRPr="009C4AC5">
        <w:rPr>
          <w:rFonts w:ascii="Times New Roman" w:hAnsi="Times New Roman" w:cs="Times New Roman"/>
          <w:sz w:val="24"/>
          <w:szCs w:val="24"/>
        </w:rPr>
        <w:t xml:space="preserve"> рік </w:t>
      </w:r>
      <w:r w:rsidR="007C411F">
        <w:rPr>
          <w:rFonts w:ascii="Times New Roman" w:hAnsi="Times New Roman" w:cs="Times New Roman"/>
          <w:sz w:val="24"/>
          <w:szCs w:val="24"/>
        </w:rPr>
        <w:t>проведено згідно</w:t>
      </w:r>
      <w:r w:rsidRPr="009C4AC5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>заявок</w:t>
      </w:r>
      <w:r w:rsidR="00584317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 xml:space="preserve">на продукти харчування </w:t>
      </w:r>
      <w:r w:rsidR="00584317">
        <w:rPr>
          <w:rFonts w:ascii="Times New Roman" w:hAnsi="Times New Roman" w:cs="Times New Roman"/>
          <w:sz w:val="24"/>
          <w:szCs w:val="24"/>
        </w:rPr>
        <w:t>закладами дошкільної освіти</w:t>
      </w:r>
      <w:r w:rsidR="007C411F">
        <w:rPr>
          <w:rFonts w:ascii="Times New Roman" w:hAnsi="Times New Roman" w:cs="Times New Roman"/>
          <w:sz w:val="24"/>
          <w:szCs w:val="24"/>
        </w:rPr>
        <w:t>.</w:t>
      </w:r>
    </w:p>
    <w:p w:rsidR="00544A28" w:rsidRDefault="00544A28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53E" w:rsidRDefault="0069653E" w:rsidP="0069653E">
      <w:pPr>
        <w:pStyle w:val="a3"/>
        <w:shd w:val="clear" w:color="auto" w:fill="FFFFFF"/>
        <w:spacing w:before="0" w:beforeAutospacing="0" w:after="200" w:afterAutospacing="0"/>
        <w:jc w:val="both"/>
      </w:pPr>
      <w:r w:rsidRPr="0030497B">
        <w:t xml:space="preserve">Очікувана вартість закупівлі </w:t>
      </w:r>
      <w:r w:rsidR="0030497B" w:rsidRPr="0030497B">
        <w:t>–</w:t>
      </w:r>
      <w:r w:rsidRPr="0030497B">
        <w:t xml:space="preserve"> </w:t>
      </w:r>
      <w:r w:rsidR="003C4681" w:rsidRPr="003C4681">
        <w:t>1094696,00 грн (один мільйон дев'яносто чотири тисячі шістсот дев'яносто шість гривень, 00 копійок)</w:t>
      </w:r>
      <w:bookmarkStart w:id="0" w:name="_GoBack"/>
      <w:bookmarkEnd w:id="0"/>
      <w:r w:rsidR="00884CEB" w:rsidRPr="00832BB8">
        <w:t>,</w:t>
      </w:r>
      <w:r w:rsidR="00680803" w:rsidRPr="00680803">
        <w:t xml:space="preserve"> </w:t>
      </w:r>
      <w:r w:rsidR="00431BFA" w:rsidRPr="00832BB8">
        <w:t>з урахуванням ПДВ</w:t>
      </w:r>
      <w:r w:rsidRPr="0030497B">
        <w:t>.</w:t>
      </w:r>
    </w:p>
    <w:sectPr w:rsidR="0069653E" w:rsidSect="00884CEB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23275"/>
    <w:rsid w:val="000C7C6B"/>
    <w:rsid w:val="000D0ABB"/>
    <w:rsid w:val="001202EE"/>
    <w:rsid w:val="001C7F4E"/>
    <w:rsid w:val="001E2AD6"/>
    <w:rsid w:val="00232258"/>
    <w:rsid w:val="002C40EF"/>
    <w:rsid w:val="002C476A"/>
    <w:rsid w:val="002D0EDF"/>
    <w:rsid w:val="002E0949"/>
    <w:rsid w:val="002E1CAA"/>
    <w:rsid w:val="002E68F9"/>
    <w:rsid w:val="002F2950"/>
    <w:rsid w:val="0030497B"/>
    <w:rsid w:val="0035434B"/>
    <w:rsid w:val="00356F5A"/>
    <w:rsid w:val="00383F0E"/>
    <w:rsid w:val="003C4681"/>
    <w:rsid w:val="003C60FB"/>
    <w:rsid w:val="003E1346"/>
    <w:rsid w:val="003F55DB"/>
    <w:rsid w:val="00401462"/>
    <w:rsid w:val="00431BFA"/>
    <w:rsid w:val="004360F9"/>
    <w:rsid w:val="00454BB5"/>
    <w:rsid w:val="00534D4D"/>
    <w:rsid w:val="00544A28"/>
    <w:rsid w:val="00547487"/>
    <w:rsid w:val="00576D72"/>
    <w:rsid w:val="00584317"/>
    <w:rsid w:val="005F6DBA"/>
    <w:rsid w:val="00610BAE"/>
    <w:rsid w:val="00633050"/>
    <w:rsid w:val="006656BC"/>
    <w:rsid w:val="00680803"/>
    <w:rsid w:val="0069653E"/>
    <w:rsid w:val="006E6FB9"/>
    <w:rsid w:val="00743F52"/>
    <w:rsid w:val="007C411F"/>
    <w:rsid w:val="007D491E"/>
    <w:rsid w:val="007D6E92"/>
    <w:rsid w:val="007E45F5"/>
    <w:rsid w:val="00802A44"/>
    <w:rsid w:val="00870ACC"/>
    <w:rsid w:val="00876BFF"/>
    <w:rsid w:val="00884CEB"/>
    <w:rsid w:val="008B3694"/>
    <w:rsid w:val="009462B1"/>
    <w:rsid w:val="0097668A"/>
    <w:rsid w:val="009A11AD"/>
    <w:rsid w:val="009C06FB"/>
    <w:rsid w:val="009C4AC5"/>
    <w:rsid w:val="009E7D67"/>
    <w:rsid w:val="00A36C1C"/>
    <w:rsid w:val="00A85059"/>
    <w:rsid w:val="00B15D79"/>
    <w:rsid w:val="00B2543F"/>
    <w:rsid w:val="00B666AC"/>
    <w:rsid w:val="00BC0BA3"/>
    <w:rsid w:val="00C23D9B"/>
    <w:rsid w:val="00C24D82"/>
    <w:rsid w:val="00D63FEB"/>
    <w:rsid w:val="00D726F5"/>
    <w:rsid w:val="00DF77A2"/>
    <w:rsid w:val="00E250C3"/>
    <w:rsid w:val="00E37CD8"/>
    <w:rsid w:val="00E524A9"/>
    <w:rsid w:val="00F50EF1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unhideWhenUsed/>
    <w:qFormat/>
    <w:rsid w:val="00E3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3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iftAlt">
    <w:name w:val="Додаток_основной_текст (Додаток___Shift+Alt)"/>
    <w:uiPriority w:val="2"/>
    <w:rsid w:val="00B15D7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unhideWhenUsed/>
    <w:qFormat/>
    <w:rsid w:val="00E3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3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iftAlt">
    <w:name w:val="Додаток_основной_текст (Додаток___Shift+Alt)"/>
    <w:uiPriority w:val="2"/>
    <w:rsid w:val="00B15D7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2023-12-22T06:41:00Z</dcterms:created>
  <dcterms:modified xsi:type="dcterms:W3CDTF">2023-12-22T06:46:00Z</dcterms:modified>
</cp:coreProperties>
</file>